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spacing w:line="360" w:lineRule="auto"/>
        <w:textAlignment w:val="auto"/>
        <w:rPr>
          <w:rFonts w:hint="eastAsia"/>
        </w:rPr>
      </w:pPr>
    </w:p>
    <w:p>
      <w:pPr>
        <w:pageBreakBefore w:val="0"/>
        <w:kinsoku/>
        <w:wordWrap/>
        <w:overflowPunct/>
        <w:topLinePunct w:val="0"/>
        <w:autoSpaceDE/>
        <w:autoSpaceDN/>
        <w:bidi w:val="0"/>
        <w:adjustRightInd/>
        <w:snapToGrid/>
        <w:spacing w:line="360" w:lineRule="auto"/>
        <w:textAlignment w:val="auto"/>
        <w:rPr>
          <w:rFonts w:hint="eastAsia"/>
        </w:rPr>
      </w:pPr>
    </w:p>
    <w:p>
      <w:pPr>
        <w:pageBreakBefore w:val="0"/>
        <w:kinsoku/>
        <w:wordWrap/>
        <w:overflowPunct/>
        <w:topLinePunct w:val="0"/>
        <w:autoSpaceDE/>
        <w:autoSpaceDN/>
        <w:bidi w:val="0"/>
        <w:adjustRightInd/>
        <w:snapToGrid/>
        <w:spacing w:line="360" w:lineRule="auto"/>
        <w:textAlignment w:val="auto"/>
        <w:rPr>
          <w:rFonts w:hint="eastAsia"/>
        </w:rPr>
      </w:pPr>
    </w:p>
    <w:p>
      <w:pPr>
        <w:pageBreakBefore w:val="0"/>
        <w:kinsoku/>
        <w:wordWrap/>
        <w:overflowPunct/>
        <w:topLinePunct w:val="0"/>
        <w:autoSpaceDE/>
        <w:autoSpaceDN/>
        <w:bidi w:val="0"/>
        <w:adjustRightInd/>
        <w:snapToGrid/>
        <w:spacing w:line="360" w:lineRule="auto"/>
        <w:textAlignment w:val="auto"/>
        <w:rPr>
          <w:rFonts w:hint="eastAsia"/>
        </w:rPr>
      </w:pPr>
    </w:p>
    <w:p>
      <w:pPr>
        <w:pageBreakBefore w:val="0"/>
        <w:kinsoku/>
        <w:wordWrap/>
        <w:overflowPunct/>
        <w:topLinePunct w:val="0"/>
        <w:autoSpaceDE/>
        <w:autoSpaceDN/>
        <w:bidi w:val="0"/>
        <w:adjustRightInd/>
        <w:snapToGrid/>
        <w:spacing w:line="360" w:lineRule="auto"/>
        <w:textAlignment w:val="auto"/>
        <w:rPr>
          <w:rFonts w:hint="eastAsia"/>
        </w:rPr>
      </w:pPr>
    </w:p>
    <w:p>
      <w:pPr>
        <w:pageBreakBefore w:val="0"/>
        <w:kinsoku/>
        <w:wordWrap/>
        <w:overflowPunct/>
        <w:topLinePunct w:val="0"/>
        <w:autoSpaceDE/>
        <w:autoSpaceDN/>
        <w:bidi w:val="0"/>
        <w:adjustRightInd/>
        <w:snapToGrid/>
        <w:spacing w:line="360" w:lineRule="auto"/>
        <w:textAlignment w:val="auto"/>
        <w:rPr>
          <w:rFonts w:hint="eastAsia"/>
        </w:rPr>
      </w:pPr>
    </w:p>
    <w:p>
      <w:pPr>
        <w:pageBreakBefore w:val="0"/>
        <w:kinsoku/>
        <w:wordWrap/>
        <w:overflowPunct/>
        <w:topLinePunct w:val="0"/>
        <w:autoSpaceDE/>
        <w:autoSpaceDN/>
        <w:bidi w:val="0"/>
        <w:adjustRightInd/>
        <w:snapToGrid/>
        <w:spacing w:line="360" w:lineRule="auto"/>
        <w:textAlignment w:val="auto"/>
        <w:rPr>
          <w:rFonts w:hint="eastAsia"/>
        </w:rPr>
      </w:pPr>
    </w:p>
    <w:p>
      <w:pPr>
        <w:pageBreakBefore w:val="0"/>
        <w:kinsoku/>
        <w:wordWrap/>
        <w:overflowPunct/>
        <w:topLinePunct w:val="0"/>
        <w:autoSpaceDE/>
        <w:autoSpaceDN/>
        <w:bidi w:val="0"/>
        <w:adjustRightInd/>
        <w:snapToGrid/>
        <w:spacing w:line="360" w:lineRule="auto"/>
        <w:jc w:val="center"/>
        <w:textAlignment w:val="auto"/>
        <w:rPr>
          <w:rFonts w:hint="eastAsia"/>
        </w:rPr>
      </w:pPr>
    </w:p>
    <w:p>
      <w:pPr>
        <w:pageBreakBefore w:val="0"/>
        <w:kinsoku/>
        <w:wordWrap/>
        <w:overflowPunct/>
        <w:topLinePunct w:val="0"/>
        <w:autoSpaceDE/>
        <w:autoSpaceDN/>
        <w:bidi w:val="0"/>
        <w:adjustRightInd/>
        <w:snapToGrid/>
        <w:spacing w:line="360" w:lineRule="auto"/>
        <w:jc w:val="center"/>
        <w:textAlignment w:val="auto"/>
        <w:rPr>
          <w:rFonts w:hint="eastAsia"/>
        </w:rPr>
      </w:pPr>
    </w:p>
    <w:p>
      <w:pPr>
        <w:pageBreakBefore w:val="0"/>
        <w:kinsoku/>
        <w:wordWrap/>
        <w:overflowPunct/>
        <w:topLinePunct w:val="0"/>
        <w:autoSpaceDE/>
        <w:autoSpaceDN/>
        <w:bidi w:val="0"/>
        <w:adjustRightInd/>
        <w:snapToGrid/>
        <w:spacing w:line="360" w:lineRule="auto"/>
        <w:jc w:val="center"/>
        <w:textAlignment w:val="auto"/>
        <w:rPr>
          <w:rFonts w:hint="eastAsia"/>
        </w:rPr>
      </w:pPr>
    </w:p>
    <w:p>
      <w:pPr>
        <w:pageBreakBefore w:val="0"/>
        <w:kinsoku/>
        <w:wordWrap/>
        <w:overflowPunct/>
        <w:topLinePunct w:val="0"/>
        <w:autoSpaceDE/>
        <w:autoSpaceDN/>
        <w:bidi w:val="0"/>
        <w:adjustRightInd/>
        <w:snapToGrid/>
        <w:spacing w:line="360" w:lineRule="auto"/>
        <w:jc w:val="center"/>
        <w:textAlignment w:val="auto"/>
        <w:rPr>
          <w:rFonts w:hint="eastAsia"/>
        </w:rPr>
      </w:pPr>
    </w:p>
    <w:p>
      <w:pPr>
        <w:pageBreakBefore w:val="0"/>
        <w:kinsoku/>
        <w:wordWrap/>
        <w:overflowPunct/>
        <w:topLinePunct w:val="0"/>
        <w:autoSpaceDE/>
        <w:autoSpaceDN/>
        <w:bidi w:val="0"/>
        <w:adjustRightInd/>
        <w:snapToGrid/>
        <w:spacing w:line="360" w:lineRule="auto"/>
        <w:jc w:val="center"/>
        <w:textAlignment w:val="auto"/>
        <w:rPr>
          <w:rFonts w:hint="eastAsia"/>
        </w:rPr>
      </w:pPr>
    </w:p>
    <w:p>
      <w:pPr>
        <w:pageBreakBefore w:val="0"/>
        <w:kinsoku/>
        <w:wordWrap/>
        <w:overflowPunct/>
        <w:topLinePunct w:val="0"/>
        <w:autoSpaceDE/>
        <w:autoSpaceDN/>
        <w:bidi w:val="0"/>
        <w:adjustRightInd/>
        <w:snapToGrid/>
        <w:spacing w:line="360" w:lineRule="auto"/>
        <w:jc w:val="center"/>
        <w:textAlignment w:val="auto"/>
        <w:rPr>
          <w:rFonts w:hint="eastAsia"/>
        </w:rPr>
      </w:pPr>
    </w:p>
    <w:p>
      <w:pPr>
        <w:pageBreakBefore w:val="0"/>
        <w:kinsoku/>
        <w:wordWrap/>
        <w:overflowPunct/>
        <w:topLinePunct w:val="0"/>
        <w:autoSpaceDE/>
        <w:autoSpaceDN/>
        <w:bidi w:val="0"/>
        <w:adjustRightInd/>
        <w:snapToGrid/>
        <w:spacing w:line="360" w:lineRule="auto"/>
        <w:jc w:val="center"/>
        <w:textAlignment w:val="auto"/>
        <w:rPr>
          <w:rFonts w:hint="eastAsia"/>
        </w:rPr>
      </w:pP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r>
        <w:rPr>
          <w:rFonts w:hint="eastAsia"/>
          <w:sz w:val="36"/>
          <w:szCs w:val="36"/>
        </w:rPr>
        <w:t>停车王智慧管理系统操作说明书</w:t>
      </w: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p>
    <w:p>
      <w:pPr>
        <w:pageBreakBefore w:val="0"/>
        <w:kinsoku/>
        <w:wordWrap/>
        <w:overflowPunct/>
        <w:topLinePunct w:val="0"/>
        <w:autoSpaceDE/>
        <w:autoSpaceDN/>
        <w:bidi w:val="0"/>
        <w:adjustRightInd/>
        <w:snapToGrid/>
        <w:spacing w:line="360" w:lineRule="auto"/>
        <w:jc w:val="center"/>
        <w:textAlignment w:val="auto"/>
        <w:rPr>
          <w:rFonts w:hint="eastAsia"/>
          <w:sz w:val="36"/>
          <w:szCs w:val="36"/>
        </w:rPr>
      </w:pPr>
    </w:p>
    <w:sdt>
      <w:sdtPr>
        <w:rPr>
          <w:rFonts w:ascii="宋体" w:hAnsi="宋体" w:eastAsia="宋体" w:cstheme="minorBidi"/>
          <w:kern w:val="2"/>
          <w:sz w:val="21"/>
          <w:szCs w:val="24"/>
          <w:lang w:val="en-US" w:eastAsia="zh-CN" w:bidi="ar-SA"/>
        </w:rPr>
        <w:id w:val="147454920"/>
        <w:docPartObj>
          <w:docPartGallery w:val="Table of Contents"/>
          <w:docPartUnique/>
        </w:docPartObj>
      </w:sdtPr>
      <w:sdtEndPr>
        <w:rPr>
          <w:rFonts w:hint="eastAsia" w:asciiTheme="minorHAnsi" w:hAnsiTheme="minorHAnsi" w:eastAsiaTheme="minorEastAsia" w:cstheme="minorBidi"/>
          <w:kern w:val="2"/>
          <w:sz w:val="21"/>
          <w:szCs w:val="36"/>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7"/>
            <w:tabs>
              <w:tab w:val="right" w:leader="dot" w:pos="8306"/>
            </w:tabs>
          </w:pPr>
          <w:r>
            <w:rPr>
              <w:rFonts w:hint="eastAsia"/>
              <w:sz w:val="36"/>
              <w:szCs w:val="36"/>
            </w:rPr>
            <w:fldChar w:fldCharType="begin"/>
          </w:r>
          <w:r>
            <w:rPr>
              <w:rFonts w:hint="eastAsia"/>
              <w:sz w:val="36"/>
              <w:szCs w:val="36"/>
            </w:rPr>
            <w:instrText xml:space="preserve">TOC \o "1-3" \h \u </w:instrText>
          </w:r>
          <w:r>
            <w:rPr>
              <w:rFonts w:hint="eastAsia"/>
              <w:sz w:val="36"/>
              <w:szCs w:val="36"/>
            </w:rPr>
            <w:fldChar w:fldCharType="separate"/>
          </w:r>
          <w:r>
            <w:rPr>
              <w:rFonts w:hint="eastAsia"/>
              <w:szCs w:val="36"/>
            </w:rPr>
            <w:fldChar w:fldCharType="begin"/>
          </w:r>
          <w:r>
            <w:rPr>
              <w:rFonts w:hint="eastAsia"/>
              <w:szCs w:val="36"/>
            </w:rPr>
            <w:instrText xml:space="preserve"> HYPERLINK \l _Toc27348 </w:instrText>
          </w:r>
          <w:r>
            <w:rPr>
              <w:rFonts w:hint="eastAsia"/>
              <w:szCs w:val="36"/>
            </w:rPr>
            <w:fldChar w:fldCharType="separate"/>
          </w:r>
          <w:r>
            <w:rPr>
              <w:rFonts w:hint="eastAsia"/>
              <w:lang w:val="en-US" w:eastAsia="zh-CN"/>
            </w:rPr>
            <w:t>1</w:t>
          </w:r>
          <w:r>
            <w:rPr>
              <w:rFonts w:hint="eastAsia"/>
            </w:rPr>
            <w:t>产品概述 </w:t>
          </w:r>
          <w:r>
            <w:tab/>
          </w:r>
          <w:r>
            <w:fldChar w:fldCharType="begin"/>
          </w:r>
          <w:r>
            <w:instrText xml:space="preserve"> PAGEREF _Toc27348 </w:instrText>
          </w:r>
          <w:r>
            <w:fldChar w:fldCharType="separate"/>
          </w:r>
          <w:r>
            <w:t>3</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_Toc9033 </w:instrText>
          </w:r>
          <w:r>
            <w:rPr>
              <w:rFonts w:hint="eastAsia"/>
              <w:szCs w:val="36"/>
            </w:rPr>
            <w:fldChar w:fldCharType="separate"/>
          </w:r>
          <w:r>
            <w:rPr>
              <w:rFonts w:hint="eastAsia"/>
              <w:lang w:val="en-US" w:eastAsia="zh-CN"/>
            </w:rPr>
            <w:t>1</w:t>
          </w:r>
          <w:r>
            <w:rPr>
              <w:rFonts w:hint="eastAsia"/>
            </w:rPr>
            <w:t>.1产品概述 </w:t>
          </w:r>
          <w:r>
            <w:tab/>
          </w:r>
          <w:r>
            <w:fldChar w:fldCharType="begin"/>
          </w:r>
          <w:r>
            <w:instrText xml:space="preserve"> PAGEREF _Toc9033 </w:instrText>
          </w:r>
          <w:r>
            <w:fldChar w:fldCharType="separate"/>
          </w:r>
          <w:r>
            <w:t>3</w:t>
          </w:r>
          <w:r>
            <w:fldChar w:fldCharType="end"/>
          </w:r>
          <w:r>
            <w:rPr>
              <w:rFonts w:hint="eastAsia"/>
              <w:szCs w:val="36"/>
            </w:rPr>
            <w:fldChar w:fldCharType="end"/>
          </w:r>
        </w:p>
        <w:p>
          <w:pPr>
            <w:pStyle w:val="7"/>
            <w:tabs>
              <w:tab w:val="right" w:leader="dot" w:pos="8306"/>
            </w:tabs>
          </w:pPr>
          <w:r>
            <w:rPr>
              <w:rFonts w:hint="eastAsia"/>
              <w:szCs w:val="36"/>
            </w:rPr>
            <w:fldChar w:fldCharType="begin"/>
          </w:r>
          <w:r>
            <w:rPr>
              <w:rFonts w:hint="eastAsia"/>
              <w:szCs w:val="36"/>
            </w:rPr>
            <w:instrText xml:space="preserve"> HYPERLINK \l _Toc13900 </w:instrText>
          </w:r>
          <w:r>
            <w:rPr>
              <w:rFonts w:hint="eastAsia"/>
              <w:szCs w:val="36"/>
            </w:rPr>
            <w:fldChar w:fldCharType="separate"/>
          </w:r>
          <w:r>
            <w:rPr>
              <w:rFonts w:hint="eastAsia"/>
              <w:lang w:val="en-US" w:eastAsia="zh-CN"/>
            </w:rPr>
            <w:t>2</w:t>
          </w:r>
          <w:r>
            <w:rPr>
              <w:rFonts w:hint="eastAsia"/>
            </w:rPr>
            <w:t>产品功能结构</w:t>
          </w:r>
          <w:r>
            <w:tab/>
          </w:r>
          <w:r>
            <w:fldChar w:fldCharType="begin"/>
          </w:r>
          <w:r>
            <w:instrText xml:space="preserve"> PAGEREF _Toc13900 </w:instrText>
          </w:r>
          <w:r>
            <w:fldChar w:fldCharType="separate"/>
          </w:r>
          <w:r>
            <w:t>3</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_Toc16523 </w:instrText>
          </w:r>
          <w:r>
            <w:rPr>
              <w:rFonts w:hint="eastAsia"/>
              <w:szCs w:val="36"/>
            </w:rPr>
            <w:fldChar w:fldCharType="separate"/>
          </w:r>
          <w:r>
            <w:rPr>
              <w:rFonts w:hint="eastAsia"/>
              <w:lang w:val="en-US" w:eastAsia="zh-CN"/>
            </w:rPr>
            <w:t>2</w:t>
          </w:r>
          <w:r>
            <w:rPr>
              <w:rFonts w:hint="eastAsia"/>
            </w:rPr>
            <w:t>.1车场总览</w:t>
          </w:r>
          <w:r>
            <w:tab/>
          </w:r>
          <w:r>
            <w:fldChar w:fldCharType="begin"/>
          </w:r>
          <w:r>
            <w:instrText xml:space="preserve"> PAGEREF _Toc16523 </w:instrText>
          </w:r>
          <w:r>
            <w:fldChar w:fldCharType="separate"/>
          </w:r>
          <w:r>
            <w:t>3</w:t>
          </w:r>
          <w:r>
            <w:fldChar w:fldCharType="end"/>
          </w:r>
          <w:r>
            <w:rPr>
              <w:rFonts w:hint="eastAsia"/>
              <w:szCs w:val="36"/>
            </w:rPr>
            <w:fldChar w:fldCharType="end"/>
          </w:r>
        </w:p>
        <w:p>
          <w:pPr>
            <w:pStyle w:val="6"/>
            <w:tabs>
              <w:tab w:val="right" w:leader="dot" w:pos="8306"/>
            </w:tabs>
          </w:pPr>
          <w:r>
            <w:rPr>
              <w:rFonts w:hint="eastAsia"/>
              <w:szCs w:val="36"/>
            </w:rPr>
            <w:fldChar w:fldCharType="begin"/>
          </w:r>
          <w:r>
            <w:rPr>
              <w:rFonts w:hint="eastAsia"/>
              <w:szCs w:val="36"/>
            </w:rPr>
            <w:instrText xml:space="preserve"> HYPERLINK \l _Toc11949 </w:instrText>
          </w:r>
          <w:r>
            <w:rPr>
              <w:rFonts w:hint="eastAsia"/>
              <w:szCs w:val="36"/>
            </w:rPr>
            <w:fldChar w:fldCharType="separate"/>
          </w:r>
          <w:r>
            <w:rPr>
              <w:rFonts w:hint="eastAsia"/>
              <w:lang w:val="en-US" w:eastAsia="zh-CN"/>
            </w:rPr>
            <w:t>2</w:t>
          </w:r>
          <w:r>
            <w:rPr>
              <w:rFonts w:hint="eastAsia"/>
            </w:rPr>
            <w:t>.1.1多车场总览</w:t>
          </w:r>
          <w:r>
            <w:tab/>
          </w:r>
          <w:r>
            <w:fldChar w:fldCharType="begin"/>
          </w:r>
          <w:r>
            <w:instrText xml:space="preserve"> PAGEREF _Toc11949 </w:instrText>
          </w:r>
          <w:r>
            <w:fldChar w:fldCharType="separate"/>
          </w:r>
          <w:r>
            <w:t>3</w:t>
          </w:r>
          <w:r>
            <w:fldChar w:fldCharType="end"/>
          </w:r>
          <w:r>
            <w:rPr>
              <w:rFonts w:hint="eastAsia"/>
              <w:szCs w:val="36"/>
            </w:rPr>
            <w:fldChar w:fldCharType="end"/>
          </w:r>
        </w:p>
        <w:p>
          <w:pPr>
            <w:pStyle w:val="6"/>
            <w:tabs>
              <w:tab w:val="right" w:leader="dot" w:pos="8306"/>
            </w:tabs>
          </w:pPr>
          <w:r>
            <w:rPr>
              <w:rFonts w:hint="eastAsia"/>
              <w:szCs w:val="36"/>
            </w:rPr>
            <w:fldChar w:fldCharType="begin"/>
          </w:r>
          <w:r>
            <w:rPr>
              <w:rFonts w:hint="eastAsia"/>
              <w:szCs w:val="36"/>
            </w:rPr>
            <w:instrText xml:space="preserve"> HYPERLINK \l _Toc31132 </w:instrText>
          </w:r>
          <w:r>
            <w:rPr>
              <w:rFonts w:hint="eastAsia"/>
              <w:szCs w:val="36"/>
            </w:rPr>
            <w:fldChar w:fldCharType="separate"/>
          </w:r>
          <w:r>
            <w:rPr>
              <w:rFonts w:hint="eastAsia"/>
              <w:lang w:val="en-US" w:eastAsia="zh-CN"/>
            </w:rPr>
            <w:t>2</w:t>
          </w:r>
          <w:r>
            <w:rPr>
              <w:rFonts w:hint="eastAsia"/>
            </w:rPr>
            <w:t>.1.2单车场总览</w:t>
          </w:r>
          <w:r>
            <w:tab/>
          </w:r>
          <w:r>
            <w:fldChar w:fldCharType="begin"/>
          </w:r>
          <w:r>
            <w:instrText xml:space="preserve"> PAGEREF _Toc31132 </w:instrText>
          </w:r>
          <w:r>
            <w:fldChar w:fldCharType="separate"/>
          </w:r>
          <w:r>
            <w:t>4</w:t>
          </w:r>
          <w:r>
            <w:fldChar w:fldCharType="end"/>
          </w:r>
          <w:r>
            <w:rPr>
              <w:rFonts w:hint="eastAsia"/>
              <w:szCs w:val="36"/>
            </w:rPr>
            <w:fldChar w:fldCharType="end"/>
          </w:r>
        </w:p>
        <w:p>
          <w:pPr>
            <w:pStyle w:val="8"/>
            <w:tabs>
              <w:tab w:val="right" w:leader="dot" w:pos="8306"/>
            </w:tabs>
          </w:pPr>
          <w:r>
            <w:rPr>
              <w:rFonts w:hint="eastAsia"/>
              <w:szCs w:val="36"/>
            </w:rPr>
            <w:fldChar w:fldCharType="begin"/>
          </w:r>
          <w:r>
            <w:rPr>
              <w:rFonts w:hint="eastAsia"/>
              <w:szCs w:val="36"/>
            </w:rPr>
            <w:instrText xml:space="preserve"> HYPERLINK \l _Toc25853 </w:instrText>
          </w:r>
          <w:r>
            <w:rPr>
              <w:rFonts w:hint="eastAsia"/>
              <w:szCs w:val="36"/>
            </w:rPr>
            <w:fldChar w:fldCharType="separate"/>
          </w:r>
          <w:r>
            <w:rPr>
              <w:rFonts w:hint="eastAsia"/>
              <w:lang w:val="en-US" w:eastAsia="zh-CN"/>
            </w:rPr>
            <w:t>2</w:t>
          </w:r>
          <w:r>
            <w:rPr>
              <w:rFonts w:hint="eastAsia"/>
            </w:rPr>
            <w:t>.2统计分析</w:t>
          </w:r>
          <w:r>
            <w:tab/>
          </w:r>
          <w:r>
            <w:fldChar w:fldCharType="begin"/>
          </w:r>
          <w:r>
            <w:instrText xml:space="preserve"> PAGEREF _Toc25853 </w:instrText>
          </w:r>
          <w:r>
            <w:fldChar w:fldCharType="separate"/>
          </w:r>
          <w:r>
            <w:t>6</w:t>
          </w:r>
          <w:r>
            <w:fldChar w:fldCharType="end"/>
          </w:r>
          <w:r>
            <w:rPr>
              <w:rFonts w:hint="eastAsia"/>
              <w:szCs w:val="36"/>
            </w:rPr>
            <w:fldChar w:fldCharType="end"/>
          </w:r>
        </w:p>
        <w:p>
          <w:pPr>
            <w:pStyle w:val="6"/>
            <w:tabs>
              <w:tab w:val="right" w:leader="dot" w:pos="8306"/>
            </w:tabs>
          </w:pPr>
          <w:r>
            <w:rPr>
              <w:rFonts w:hint="eastAsia"/>
              <w:szCs w:val="36"/>
            </w:rPr>
            <w:fldChar w:fldCharType="begin"/>
          </w:r>
          <w:r>
            <w:rPr>
              <w:rFonts w:hint="eastAsia"/>
              <w:szCs w:val="36"/>
            </w:rPr>
            <w:instrText xml:space="preserve"> HYPERLINK \l _Toc22970 </w:instrText>
          </w:r>
          <w:r>
            <w:rPr>
              <w:rFonts w:hint="eastAsia"/>
              <w:szCs w:val="36"/>
            </w:rPr>
            <w:fldChar w:fldCharType="separate"/>
          </w:r>
          <w:r>
            <w:rPr>
              <w:rFonts w:hint="eastAsia"/>
              <w:lang w:val="en-US" w:eastAsia="zh-CN"/>
            </w:rPr>
            <w:t>2</w:t>
          </w:r>
          <w:r>
            <w:rPr>
              <w:rFonts w:hint="eastAsia"/>
            </w:rPr>
            <w:t>.2.1收入统计</w:t>
          </w:r>
          <w:r>
            <w:tab/>
          </w:r>
          <w:r>
            <w:fldChar w:fldCharType="begin"/>
          </w:r>
          <w:r>
            <w:instrText xml:space="preserve"> PAGEREF _Toc22970 </w:instrText>
          </w:r>
          <w:r>
            <w:fldChar w:fldCharType="separate"/>
          </w:r>
          <w:r>
            <w:t>6</w:t>
          </w:r>
          <w:r>
            <w:fldChar w:fldCharType="end"/>
          </w:r>
          <w:r>
            <w:rPr>
              <w:rFonts w:hint="eastAsia"/>
              <w:szCs w:val="36"/>
            </w:rPr>
            <w:fldChar w:fldCharType="end"/>
          </w:r>
        </w:p>
        <w:p>
          <w:pPr>
            <w:pStyle w:val="6"/>
            <w:tabs>
              <w:tab w:val="right" w:leader="dot" w:pos="8306"/>
            </w:tabs>
          </w:pPr>
          <w:r>
            <w:rPr>
              <w:rFonts w:hint="eastAsia"/>
              <w:szCs w:val="36"/>
            </w:rPr>
            <w:fldChar w:fldCharType="begin"/>
          </w:r>
          <w:r>
            <w:rPr>
              <w:rFonts w:hint="eastAsia"/>
              <w:szCs w:val="36"/>
            </w:rPr>
            <w:instrText xml:space="preserve"> HYPERLINK \l _Toc17557 </w:instrText>
          </w:r>
          <w:r>
            <w:rPr>
              <w:rFonts w:hint="eastAsia"/>
              <w:szCs w:val="36"/>
            </w:rPr>
            <w:fldChar w:fldCharType="separate"/>
          </w:r>
          <w:r>
            <w:rPr>
              <w:rFonts w:hint="eastAsia"/>
              <w:lang w:val="en-US" w:eastAsia="zh-CN"/>
            </w:rPr>
            <w:t>2</w:t>
          </w:r>
          <w:r>
            <w:rPr>
              <w:rFonts w:hint="eastAsia"/>
            </w:rPr>
            <w:t>.2.2流量统计</w:t>
          </w:r>
          <w:r>
            <w:tab/>
          </w:r>
          <w:r>
            <w:fldChar w:fldCharType="begin"/>
          </w:r>
          <w:r>
            <w:instrText xml:space="preserve"> PAGEREF _Toc17557 </w:instrText>
          </w:r>
          <w:r>
            <w:fldChar w:fldCharType="separate"/>
          </w:r>
          <w:r>
            <w:t>8</w:t>
          </w:r>
          <w:r>
            <w:fldChar w:fldCharType="end"/>
          </w:r>
          <w:r>
            <w:rPr>
              <w:rFonts w:hint="eastAsia"/>
              <w:szCs w:val="36"/>
            </w:rPr>
            <w:fldChar w:fldCharType="end"/>
          </w:r>
        </w:p>
        <w:p>
          <w:pPr>
            <w:pStyle w:val="6"/>
            <w:tabs>
              <w:tab w:val="right" w:leader="dot" w:pos="8306"/>
            </w:tabs>
          </w:pPr>
          <w:r>
            <w:rPr>
              <w:rFonts w:hint="eastAsia"/>
              <w:szCs w:val="36"/>
            </w:rPr>
            <w:fldChar w:fldCharType="begin"/>
          </w:r>
          <w:r>
            <w:rPr>
              <w:rFonts w:hint="eastAsia"/>
              <w:szCs w:val="36"/>
            </w:rPr>
            <w:instrText xml:space="preserve"> HYPERLINK \l _Toc8129 </w:instrText>
          </w:r>
          <w:r>
            <w:rPr>
              <w:rFonts w:hint="eastAsia"/>
              <w:szCs w:val="36"/>
            </w:rPr>
            <w:fldChar w:fldCharType="separate"/>
          </w:r>
          <w:r>
            <w:rPr>
              <w:rFonts w:hint="eastAsia"/>
              <w:lang w:val="en-US" w:eastAsia="zh-CN"/>
            </w:rPr>
            <w:t>2</w:t>
          </w:r>
          <w:r>
            <w:rPr>
              <w:rFonts w:hint="eastAsia"/>
            </w:rPr>
            <w:t>.2.3饱和度统计</w:t>
          </w:r>
          <w:r>
            <w:tab/>
          </w:r>
          <w:r>
            <w:fldChar w:fldCharType="begin"/>
          </w:r>
          <w:r>
            <w:instrText xml:space="preserve"> PAGEREF _Toc8129 </w:instrText>
          </w:r>
          <w:r>
            <w:fldChar w:fldCharType="separate"/>
          </w:r>
          <w:r>
            <w:t>10</w:t>
          </w:r>
          <w:r>
            <w:fldChar w:fldCharType="end"/>
          </w:r>
          <w:r>
            <w:rPr>
              <w:rFonts w:hint="eastAsia"/>
              <w:szCs w:val="36"/>
            </w:rPr>
            <w:fldChar w:fldCharType="end"/>
          </w:r>
        </w:p>
        <w:p>
          <w:pPr>
            <w:pStyle w:val="6"/>
            <w:tabs>
              <w:tab w:val="right" w:leader="dot" w:pos="8306"/>
            </w:tabs>
          </w:pPr>
          <w:r>
            <w:rPr>
              <w:rFonts w:hint="eastAsia"/>
              <w:szCs w:val="36"/>
            </w:rPr>
            <w:fldChar w:fldCharType="begin"/>
          </w:r>
          <w:r>
            <w:rPr>
              <w:rFonts w:hint="eastAsia"/>
              <w:szCs w:val="36"/>
            </w:rPr>
            <w:instrText xml:space="preserve"> HYPERLINK \l _Toc5684 </w:instrText>
          </w:r>
          <w:r>
            <w:rPr>
              <w:rFonts w:hint="eastAsia"/>
              <w:szCs w:val="36"/>
            </w:rPr>
            <w:fldChar w:fldCharType="separate"/>
          </w:r>
          <w:r>
            <w:rPr>
              <w:rFonts w:hint="eastAsia"/>
              <w:lang w:val="en-US" w:eastAsia="zh-CN"/>
            </w:rPr>
            <w:t>2</w:t>
          </w:r>
          <w:r>
            <w:rPr>
              <w:rFonts w:hint="eastAsia"/>
            </w:rPr>
            <w:t>.2.4停车时长统计</w:t>
          </w:r>
          <w:r>
            <w:tab/>
          </w:r>
          <w:r>
            <w:fldChar w:fldCharType="begin"/>
          </w:r>
          <w:r>
            <w:instrText xml:space="preserve"> PAGEREF _Toc5684 </w:instrText>
          </w:r>
          <w:r>
            <w:fldChar w:fldCharType="separate"/>
          </w:r>
          <w:r>
            <w:t>11</w:t>
          </w:r>
          <w:r>
            <w:fldChar w:fldCharType="end"/>
          </w:r>
          <w:r>
            <w:rPr>
              <w:rFonts w:hint="eastAsia"/>
              <w:szCs w:val="36"/>
            </w:rPr>
            <w:fldChar w:fldCharType="end"/>
          </w:r>
        </w:p>
        <w:p>
          <w:pPr>
            <w:pStyle w:val="6"/>
            <w:tabs>
              <w:tab w:val="right" w:leader="dot" w:pos="8306"/>
            </w:tabs>
          </w:pPr>
          <w:r>
            <w:rPr>
              <w:rFonts w:hint="eastAsia"/>
              <w:szCs w:val="36"/>
            </w:rPr>
            <w:fldChar w:fldCharType="begin"/>
          </w:r>
          <w:r>
            <w:rPr>
              <w:rFonts w:hint="eastAsia"/>
              <w:szCs w:val="36"/>
            </w:rPr>
            <w:instrText xml:space="preserve"> HYPERLINK \l _Toc18784 </w:instrText>
          </w:r>
          <w:r>
            <w:rPr>
              <w:rFonts w:hint="eastAsia"/>
              <w:szCs w:val="36"/>
            </w:rPr>
            <w:fldChar w:fldCharType="separate"/>
          </w:r>
          <w:r>
            <w:rPr>
              <w:rFonts w:hint="eastAsia"/>
              <w:lang w:val="en-US" w:eastAsia="zh-CN"/>
            </w:rPr>
            <w:t>2</w:t>
          </w:r>
          <w:r>
            <w:rPr>
              <w:rFonts w:hint="eastAsia"/>
            </w:rPr>
            <w:t>.2.5免费放行统计</w:t>
          </w:r>
          <w:r>
            <w:tab/>
          </w:r>
          <w:r>
            <w:fldChar w:fldCharType="begin"/>
          </w:r>
          <w:r>
            <w:instrText xml:space="preserve"> PAGEREF _Toc18784 </w:instrText>
          </w:r>
          <w:r>
            <w:fldChar w:fldCharType="separate"/>
          </w:r>
          <w:r>
            <w:t>13</w:t>
          </w:r>
          <w:r>
            <w:fldChar w:fldCharType="end"/>
          </w:r>
          <w:r>
            <w:rPr>
              <w:rFonts w:hint="eastAsia"/>
              <w:szCs w:val="36"/>
            </w:rPr>
            <w:fldChar w:fldCharType="end"/>
          </w:r>
        </w:p>
        <w:p>
          <w:pPr>
            <w:pStyle w:val="6"/>
            <w:tabs>
              <w:tab w:val="right" w:leader="dot" w:pos="8306"/>
            </w:tabs>
          </w:pPr>
          <w:r>
            <w:rPr>
              <w:rFonts w:hint="eastAsia"/>
              <w:szCs w:val="36"/>
            </w:rPr>
            <w:fldChar w:fldCharType="begin"/>
          </w:r>
          <w:r>
            <w:rPr>
              <w:rFonts w:hint="eastAsia"/>
              <w:szCs w:val="36"/>
            </w:rPr>
            <w:instrText xml:space="preserve"> HYPERLINK \l _Toc8444 </w:instrText>
          </w:r>
          <w:r>
            <w:rPr>
              <w:rFonts w:hint="eastAsia"/>
              <w:szCs w:val="36"/>
            </w:rPr>
            <w:fldChar w:fldCharType="separate"/>
          </w:r>
          <w:r>
            <w:rPr>
              <w:rFonts w:hint="eastAsia"/>
            </w:rPr>
            <w:t>3.2.6来源地分析</w:t>
          </w:r>
          <w:r>
            <w:tab/>
          </w:r>
          <w:r>
            <w:fldChar w:fldCharType="begin"/>
          </w:r>
          <w:r>
            <w:instrText xml:space="preserve"> PAGEREF _Toc8444 </w:instrText>
          </w:r>
          <w:r>
            <w:fldChar w:fldCharType="separate"/>
          </w:r>
          <w:r>
            <w:t>14</w:t>
          </w:r>
          <w:r>
            <w:fldChar w:fldCharType="end"/>
          </w:r>
          <w:r>
            <w:rPr>
              <w:rFonts w:hint="eastAsia"/>
              <w:szCs w:val="36"/>
            </w:rPr>
            <w:fldChar w:fldCharType="end"/>
          </w: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r>
            <w:rPr>
              <w:rFonts w:hint="eastAsia"/>
              <w:szCs w:val="36"/>
            </w:rPr>
            <w:fldChar w:fldCharType="end"/>
          </w:r>
        </w:p>
      </w:sdtContent>
    </w:sdt>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bookmarkStart w:id="13" w:name="_GoBack"/>
      <w:bookmarkEnd w:id="13"/>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ageBreakBefore w:val="0"/>
        <w:kinsoku/>
        <w:wordWrap/>
        <w:overflowPunct/>
        <w:topLinePunct w:val="0"/>
        <w:autoSpaceDE/>
        <w:autoSpaceDN/>
        <w:bidi w:val="0"/>
        <w:adjustRightInd/>
        <w:snapToGrid/>
        <w:spacing w:line="360" w:lineRule="auto"/>
        <w:jc w:val="center"/>
        <w:textAlignment w:val="auto"/>
        <w:rPr>
          <w:rFonts w:hint="eastAsia" w:asciiTheme="minorHAnsi" w:hAnsiTheme="minorHAnsi" w:eastAsiaTheme="minorEastAsia" w:cstheme="minorBidi"/>
          <w:kern w:val="2"/>
          <w:sz w:val="21"/>
          <w:szCs w:val="36"/>
          <w:lang w:val="en-US" w:eastAsia="zh-CN" w:bidi="ar-SA"/>
        </w:rPr>
      </w:pPr>
    </w:p>
    <w:p>
      <w:pPr>
        <w:pStyle w:val="2"/>
        <w:rPr>
          <w:rFonts w:hint="eastAsia"/>
        </w:rPr>
      </w:pPr>
      <w:bookmarkStart w:id="0" w:name="_Toc27348"/>
      <w:r>
        <w:rPr>
          <w:rFonts w:hint="eastAsia"/>
          <w:lang w:val="en-US" w:eastAsia="zh-CN"/>
        </w:rPr>
        <w:t>1</w:t>
      </w:r>
      <w:r>
        <w:rPr>
          <w:rFonts w:hint="eastAsia"/>
        </w:rPr>
        <w:t>产品概述 </w:t>
      </w:r>
      <w:bookmarkEnd w:id="0"/>
    </w:p>
    <w:p>
      <w:pPr>
        <w:pStyle w:val="3"/>
        <w:rPr>
          <w:rFonts w:hint="eastAsia"/>
        </w:rPr>
      </w:pPr>
      <w:bookmarkStart w:id="1" w:name="_Toc9033"/>
      <w:r>
        <w:rPr>
          <w:rFonts w:hint="eastAsia"/>
          <w:lang w:val="en-US" w:eastAsia="zh-CN"/>
        </w:rPr>
        <w:t>1</w:t>
      </w:r>
      <w:r>
        <w:rPr>
          <w:rFonts w:hint="eastAsia"/>
        </w:rPr>
        <w:t>.1产品概述 </w:t>
      </w:r>
      <w:bookmarkEnd w:id="1"/>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IOP主要用户为车场管理人员、财务人员，方便车场管理人员掌握车场运营数据，汇总分析报表，配合APP能够实现移动管理；方便财务人员对停车场收入对账。</w:t>
      </w:r>
    </w:p>
    <w:p>
      <w:pPr>
        <w:pStyle w:val="2"/>
        <w:rPr>
          <w:rFonts w:hint="eastAsia"/>
        </w:rPr>
      </w:pPr>
      <w:bookmarkStart w:id="2" w:name="_Toc13900"/>
      <w:r>
        <w:rPr>
          <w:rFonts w:hint="eastAsia"/>
          <w:lang w:val="en-US" w:eastAsia="zh-CN"/>
        </w:rPr>
        <w:t>2</w:t>
      </w:r>
      <w:r>
        <w:rPr>
          <w:rFonts w:hint="eastAsia"/>
        </w:rPr>
        <w:t>产品功能结构</w:t>
      </w:r>
      <w:bookmarkEnd w:id="2"/>
    </w:p>
    <w:p>
      <w:pPr>
        <w:pStyle w:val="3"/>
        <w:rPr>
          <w:rFonts w:hint="eastAsia"/>
        </w:rPr>
      </w:pPr>
      <w:bookmarkStart w:id="3" w:name="_Toc16523"/>
      <w:r>
        <w:rPr>
          <w:rFonts w:hint="eastAsia"/>
          <w:lang w:val="en-US" w:eastAsia="zh-CN"/>
        </w:rPr>
        <w:t>2</w:t>
      </w:r>
      <w:r>
        <w:rPr>
          <w:rFonts w:hint="eastAsia"/>
        </w:rPr>
        <w:t>.1车场总览</w:t>
      </w:r>
      <w:bookmarkEnd w:id="3"/>
    </w:p>
    <w:p>
      <w:pPr>
        <w:pStyle w:val="4"/>
        <w:rPr>
          <w:rFonts w:hint="eastAsia"/>
        </w:rPr>
      </w:pPr>
      <w:bookmarkStart w:id="4" w:name="_Toc11949"/>
      <w:r>
        <w:rPr>
          <w:rFonts w:hint="eastAsia"/>
          <w:lang w:val="en-US" w:eastAsia="zh-CN"/>
        </w:rPr>
        <w:t>2</w:t>
      </w:r>
      <w:r>
        <w:rPr>
          <w:rFonts w:hint="eastAsia"/>
        </w:rPr>
        <w:t>.1.1多车场总览</w:t>
      </w:r>
      <w:bookmarkEnd w:id="4"/>
    </w:p>
    <w:p>
      <w:pPr>
        <w:pStyle w:val="5"/>
        <w:rPr>
          <w:rFonts w:hint="eastAsia"/>
        </w:rPr>
      </w:pPr>
      <w:r>
        <w:rPr>
          <w:rFonts w:hint="eastAsia"/>
        </w:rPr>
        <w:t>使用场景</w:t>
      </w:r>
    </w:p>
    <w:p>
      <w:pPr>
        <w:pageBreakBefore w:val="0"/>
        <w:numPr>
          <w:ilvl w:val="0"/>
          <w:numId w:val="1"/>
        </w:numPr>
        <w:kinsoku/>
        <w:wordWrap/>
        <w:overflowPunct/>
        <w:topLinePunct w:val="0"/>
        <w:autoSpaceDE/>
        <w:autoSpaceDN/>
        <w:bidi w:val="0"/>
        <w:adjustRightInd/>
        <w:snapToGrid/>
        <w:spacing w:line="360" w:lineRule="auto"/>
        <w:jc w:val="left"/>
        <w:textAlignment w:val="auto"/>
        <w:rPr>
          <w:rFonts w:hint="eastAsia"/>
        </w:rPr>
      </w:pPr>
      <w:r>
        <w:rPr>
          <w:rFonts w:hint="eastAsia"/>
        </w:rPr>
        <w:t>车场管理员登录之后首先能够看到名下所有车场总实收金额、应收金额、支付笔数；</w:t>
      </w:r>
    </w:p>
    <w:p>
      <w:pPr>
        <w:pageBreakBefore w:val="0"/>
        <w:numPr>
          <w:ilvl w:val="0"/>
          <w:numId w:val="1"/>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数据实时刷新；</w:t>
      </w:r>
    </w:p>
    <w:p>
      <w:pPr>
        <w:pStyle w:val="5"/>
        <w:rPr>
          <w:rFonts w:hint="eastAsia"/>
        </w:rPr>
      </w:pPr>
      <w:r>
        <w:rPr>
          <w:rFonts w:hint="eastAsia"/>
        </w:rPr>
        <w:t>操作说明</w:t>
      </w:r>
    </w:p>
    <w:p>
      <w:pPr>
        <w:pageBreakBefore w:val="0"/>
        <w:numPr>
          <w:ilvl w:val="0"/>
          <w:numId w:val="2"/>
        </w:numPr>
        <w:kinsoku/>
        <w:wordWrap/>
        <w:overflowPunct/>
        <w:topLinePunct w:val="0"/>
        <w:autoSpaceDE/>
        <w:autoSpaceDN/>
        <w:bidi w:val="0"/>
        <w:adjustRightInd/>
        <w:snapToGrid/>
        <w:spacing w:line="360" w:lineRule="auto"/>
        <w:jc w:val="left"/>
        <w:textAlignment w:val="auto"/>
        <w:rPr>
          <w:rFonts w:hint="eastAsia"/>
        </w:rPr>
      </w:pPr>
      <w:r>
        <w:rPr>
          <w:rFonts w:hint="eastAsia"/>
        </w:rPr>
        <w:t>查询：选择不同车场切换不同车场交账记录，默认上一次选择的车场；例如我在任意一个页面选择了车场1，那么进入其他页面时默认的就是车场1的数据，如果我在新的页面选择了车场2，那么再进入其他页面时就默认车场2的数据了。</w:t>
      </w:r>
    </w:p>
    <w:p>
      <w:pPr>
        <w:pageBreakBefore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排序：可以点击车场列表中的“实收金额” “免费开闸(次)”降序或升序排列。</w:t>
      </w:r>
    </w:p>
    <w:p>
      <w:pPr>
        <w:pageBreakBefore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操作：点击最后一列“操作”，进入所选车场的统计页面。</w:t>
      </w:r>
    </w:p>
    <w:p>
      <w:pPr>
        <w:pStyle w:val="5"/>
        <w:rPr>
          <w:rFonts w:hint="eastAsia"/>
        </w:rPr>
      </w:pPr>
      <w:r>
        <w:rPr>
          <w:rFonts w:hint="eastAsia"/>
        </w:rPr>
        <w:t>业务说明</w:t>
      </w:r>
    </w:p>
    <w:p>
      <w:pPr>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rPr>
      </w:pPr>
      <w:r>
        <w:rPr>
          <w:rFonts w:hint="eastAsia"/>
        </w:rPr>
        <w:t>集团总览页面下的的数据来自登录用户所在集团下所有车场的数据，但是登录用户需要有相应的车场权限~~~ 三个彩色大标签分别统计了所有车场的实收金额、应收金额、支付笔数，而且会实时刷新数据。 车场列表展示了该集团下所有车场的收入情况，点击可进入所选车场详细运营页面。</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682750"/>
            <wp:effectExtent l="0" t="0" r="2540" b="1270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
                    <a:stretch>
                      <a:fillRect/>
                    </a:stretch>
                  </pic:blipFill>
                  <pic:spPr>
                    <a:xfrm>
                      <a:off x="0" y="0"/>
                      <a:ext cx="5274310" cy="1683024"/>
                    </a:xfrm>
                    <a:prstGeom prst="rect">
                      <a:avLst/>
                    </a:prstGeom>
                  </pic:spPr>
                </pic:pic>
              </a:graphicData>
            </a:graphic>
          </wp:inline>
        </w:drawing>
      </w:r>
    </w:p>
    <w:p>
      <w:pPr>
        <w:pStyle w:val="4"/>
        <w:rPr>
          <w:rFonts w:hint="eastAsia"/>
        </w:rPr>
      </w:pPr>
      <w:bookmarkStart w:id="5" w:name="_Toc31132"/>
      <w:r>
        <w:rPr>
          <w:rFonts w:hint="eastAsia"/>
          <w:lang w:val="en-US" w:eastAsia="zh-CN"/>
        </w:rPr>
        <w:t>2</w:t>
      </w:r>
      <w:r>
        <w:rPr>
          <w:rFonts w:hint="eastAsia"/>
        </w:rPr>
        <w:t>.1.2单车场总览</w:t>
      </w:r>
      <w:bookmarkEnd w:id="5"/>
    </w:p>
    <w:p>
      <w:pPr>
        <w:pStyle w:val="5"/>
        <w:rPr>
          <w:rFonts w:hint="eastAsia"/>
        </w:rPr>
      </w:pPr>
      <w:r>
        <w:rPr>
          <w:rFonts w:hint="eastAsia"/>
        </w:rPr>
        <w:t>使用场景</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单车场下展示一个车场下的今日实收、支付笔数、应收金额、异常车次、免费开闸次数、饱和度。</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以上这些数据都是实时刷新；</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进入单车场，车场管理员可以实时监控收入、流量、饱和度，并可以依据不同支付渠道统计收入及占比、按照不同授权类型统计流量及占比；</w:t>
      </w:r>
    </w:p>
    <w:p>
      <w:pPr>
        <w:pStyle w:val="5"/>
        <w:rPr>
          <w:rFonts w:hint="eastAsia"/>
        </w:rPr>
      </w:pPr>
      <w:r>
        <w:rPr>
          <w:rFonts w:hint="eastAsia"/>
        </w:rPr>
        <w:t>操作说明</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查询：选择不同车场切换不同车场交账记录，默认上一次选择的车场；例如我在任意一个页面选择了车场1，那么进入其他页面时默认的就是车场1的数据，如果我在新的页面选择了车场2，那么再进入其他页面时就默认车场2的数据了。</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默认查询当天数据。</w:t>
      </w:r>
    </w:p>
    <w:p>
      <w:pPr>
        <w:pStyle w:val="5"/>
        <w:rPr>
          <w:rFonts w:hint="eastAsia"/>
        </w:rPr>
      </w:pPr>
      <w:r>
        <w:rPr>
          <w:rFonts w:hint="eastAsia"/>
        </w:rPr>
        <w:t>业务说明</w:t>
      </w:r>
    </w:p>
    <w:p>
      <w:pPr>
        <w:pageBreakBefore w:val="0"/>
        <w:numPr>
          <w:ilvl w:val="0"/>
          <w:numId w:val="3"/>
        </w:numPr>
        <w:kinsoku/>
        <w:wordWrap/>
        <w:overflowPunct/>
        <w:topLinePunct w:val="0"/>
        <w:autoSpaceDE/>
        <w:autoSpaceDN/>
        <w:bidi w:val="0"/>
        <w:adjustRightInd/>
        <w:snapToGrid/>
        <w:spacing w:line="360" w:lineRule="auto"/>
        <w:jc w:val="left"/>
        <w:textAlignment w:val="auto"/>
        <w:rPr>
          <w:rFonts w:hint="eastAsia"/>
        </w:rPr>
      </w:pPr>
      <w:r>
        <w:rPr>
          <w:rFonts w:hint="eastAsia"/>
        </w:rPr>
        <w:t>汇总关键数据(数据会实时刷新~)：收入、车流量、车场饱和度、异常次数。详细见下图：</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028700"/>
            <wp:effectExtent l="0" t="0" r="254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5"/>
                    <a:stretch>
                      <a:fillRect/>
                    </a:stretch>
                  </pic:blipFill>
                  <pic:spPr>
                    <a:xfrm>
                      <a:off x="0" y="0"/>
                      <a:ext cx="5274310" cy="1029223"/>
                    </a:xfrm>
                    <a:prstGeom prst="rect">
                      <a:avLst/>
                    </a:prstGeom>
                  </pic:spPr>
                </pic:pic>
              </a:graphicData>
            </a:graphic>
          </wp:inline>
        </w:drawing>
      </w:r>
    </w:p>
    <w:p>
      <w:pPr>
        <w:pageBreakBefore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收入占比分析：使用柱状图和饼状图分析不同支付方式下的收入金额和支付笔数。以下图为例，可以看出已经很少有现金支付了，基本上都是移动支付。</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4133850" cy="37909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
                    <a:stretch>
                      <a:fillRect/>
                    </a:stretch>
                  </pic:blipFill>
                  <pic:spPr>
                    <a:xfrm>
                      <a:off x="0" y="0"/>
                      <a:ext cx="4133850" cy="3790950"/>
                    </a:xfrm>
                    <a:prstGeom prst="rect">
                      <a:avLst/>
                    </a:prstGeom>
                  </pic:spPr>
                </pic:pic>
              </a:graphicData>
            </a:graphic>
          </wp:inline>
        </w:drawing>
      </w:r>
    </w:p>
    <w:p>
      <w:pPr>
        <w:pageBreakBefore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流量占比分析：使用柱状图和饼状图分析不同类型车辆下的车流量占比。以下图为例，可以看出临时车车流量最大。</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3020695"/>
            <wp:effectExtent l="0" t="0" r="2540" b="825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
                    <a:stretch>
                      <a:fillRect/>
                    </a:stretch>
                  </pic:blipFill>
                  <pic:spPr>
                    <a:xfrm>
                      <a:off x="0" y="0"/>
                      <a:ext cx="5274310" cy="3021145"/>
                    </a:xfrm>
                    <a:prstGeom prst="rect">
                      <a:avLst/>
                    </a:prstGeom>
                  </pic:spPr>
                </pic:pic>
              </a:graphicData>
            </a:graphic>
          </wp:inline>
        </w:drawing>
      </w:r>
    </w:p>
    <w:p>
      <w:pPr>
        <w:pageBreakBefore w:val="0"/>
        <w:numPr>
          <w:ilvl w:val="0"/>
          <w:numId w:val="3"/>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使用曲线图给出了一天内车流量趋势分析。</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378585"/>
            <wp:effectExtent l="0" t="0" r="2540" b="1206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
                    <a:stretch>
                      <a:fillRect/>
                    </a:stretch>
                  </pic:blipFill>
                  <pic:spPr>
                    <a:xfrm>
                      <a:off x="0" y="0"/>
                      <a:ext cx="5274310" cy="1379012"/>
                    </a:xfrm>
                    <a:prstGeom prst="rect">
                      <a:avLst/>
                    </a:prstGeom>
                  </pic:spPr>
                </pic:pic>
              </a:graphicData>
            </a:graphic>
          </wp:inline>
        </w:drawing>
      </w:r>
    </w:p>
    <w:p>
      <w:pPr>
        <w:pStyle w:val="3"/>
        <w:rPr>
          <w:rFonts w:hint="eastAsia"/>
        </w:rPr>
      </w:pPr>
      <w:bookmarkStart w:id="6" w:name="_Toc25853"/>
      <w:r>
        <w:rPr>
          <w:rFonts w:hint="eastAsia"/>
          <w:lang w:val="en-US" w:eastAsia="zh-CN"/>
        </w:rPr>
        <w:t>2</w:t>
      </w:r>
      <w:r>
        <w:rPr>
          <w:rFonts w:hint="eastAsia"/>
        </w:rPr>
        <w:t>.2统计分析</w:t>
      </w:r>
      <w:bookmarkEnd w:id="6"/>
    </w:p>
    <w:p>
      <w:pPr>
        <w:pStyle w:val="4"/>
        <w:rPr>
          <w:rFonts w:hint="eastAsia"/>
        </w:rPr>
      </w:pPr>
      <w:bookmarkStart w:id="7" w:name="_Toc22970"/>
      <w:r>
        <w:rPr>
          <w:rFonts w:hint="eastAsia"/>
          <w:lang w:val="en-US" w:eastAsia="zh-CN"/>
        </w:rPr>
        <w:t>2</w:t>
      </w:r>
      <w:r>
        <w:rPr>
          <w:rFonts w:hint="eastAsia"/>
        </w:rPr>
        <w:t>.2.1收入统计</w:t>
      </w:r>
      <w:bookmarkEnd w:id="7"/>
    </w:p>
    <w:p>
      <w:pPr>
        <w:pStyle w:val="5"/>
        <w:rPr>
          <w:rFonts w:hint="eastAsia"/>
        </w:rPr>
      </w:pPr>
      <w:r>
        <w:rPr>
          <w:rFonts w:hint="eastAsia"/>
        </w:rPr>
        <w:t>使用场景</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车场管理员查看一段时间内的收入情况。</w:t>
      </w:r>
    </w:p>
    <w:p>
      <w:pPr>
        <w:pStyle w:val="5"/>
        <w:rPr>
          <w:rFonts w:hint="eastAsia"/>
        </w:rPr>
      </w:pPr>
      <w:r>
        <w:rPr>
          <w:rFonts w:hint="eastAsia"/>
        </w:rPr>
        <w:t>操作说明</w:t>
      </w:r>
    </w:p>
    <w:p>
      <w:pPr>
        <w:pageBreakBefore w:val="0"/>
        <w:numPr>
          <w:ilvl w:val="0"/>
          <w:numId w:val="4"/>
        </w:numPr>
        <w:kinsoku/>
        <w:wordWrap/>
        <w:overflowPunct/>
        <w:topLinePunct w:val="0"/>
        <w:autoSpaceDE/>
        <w:autoSpaceDN/>
        <w:bidi w:val="0"/>
        <w:adjustRightInd/>
        <w:snapToGrid/>
        <w:spacing w:line="360" w:lineRule="auto"/>
        <w:jc w:val="left"/>
        <w:textAlignment w:val="auto"/>
        <w:rPr>
          <w:rFonts w:hint="eastAsia"/>
        </w:rPr>
      </w:pPr>
      <w:r>
        <w:rPr>
          <w:rFonts w:hint="eastAsia"/>
        </w:rPr>
        <w:t>车场选择：选择不同车场切换不同车场交账记录，默认上一次选择的车场；例如我在任意一个页面选择了车场1，那么进入其他页面时默认的就是车场1的数据，如果我在新的页面选择了车场2，那么再进入其他页面时就默认车场2的数据了。</w:t>
      </w:r>
    </w:p>
    <w:p>
      <w:pPr>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rPr>
      </w:pPr>
      <w:r>
        <w:rPr>
          <w:rFonts w:hint="eastAsia"/>
        </w:rPr>
        <w:t>时间粒度：默认小时，当前页面汇总数据、柱状图、饼状图统计查询日期内的数据，收入趋势和应收实收明细按照小时单位显示；切换选择天，当前页面汇总数据、柱状图、饼状图统计当月数据，收入趋势和应收实收明细按照天为单位显示。</w:t>
      </w:r>
    </w:p>
    <w:p>
      <w:pPr>
        <w:pageBreakBefore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导出：点击导出，系统保存查询记录为.csv文件到本地。</w:t>
      </w:r>
    </w:p>
    <w:p>
      <w:pPr>
        <w:pStyle w:val="5"/>
        <w:rPr>
          <w:rFonts w:hint="eastAsia"/>
        </w:rPr>
      </w:pPr>
      <w:r>
        <w:rPr>
          <w:rFonts w:hint="eastAsia"/>
        </w:rPr>
        <w:t>业务说明</w:t>
      </w:r>
    </w:p>
    <w:p>
      <w:pPr>
        <w:pageBreakBefore w:val="0"/>
        <w:numPr>
          <w:ilvl w:val="0"/>
          <w:numId w:val="5"/>
        </w:numPr>
        <w:kinsoku/>
        <w:wordWrap/>
        <w:overflowPunct/>
        <w:topLinePunct w:val="0"/>
        <w:autoSpaceDE/>
        <w:autoSpaceDN/>
        <w:bidi w:val="0"/>
        <w:adjustRightInd/>
        <w:snapToGrid/>
        <w:spacing w:line="360" w:lineRule="auto"/>
        <w:jc w:val="left"/>
        <w:textAlignment w:val="auto"/>
        <w:rPr>
          <w:rFonts w:hint="eastAsia"/>
        </w:rPr>
      </w:pPr>
      <w:r>
        <w:rPr>
          <w:rFonts w:hint="eastAsia"/>
        </w:rPr>
        <w:t>汇总数据</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汇总实收金额，对比上一日、上一周趋势；统计应收金额，支付笔数。</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571500"/>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
                    <a:stretch>
                      <a:fillRect/>
                    </a:stretch>
                  </pic:blipFill>
                  <pic:spPr>
                    <a:xfrm>
                      <a:off x="0" y="0"/>
                      <a:ext cx="5274310" cy="571994"/>
                    </a:xfrm>
                    <a:prstGeom prst="rect">
                      <a:avLst/>
                    </a:prstGeom>
                  </pic:spPr>
                </pic:pic>
              </a:graphicData>
            </a:graphic>
          </wp:inline>
        </w:drawing>
      </w:r>
    </w:p>
    <w:p>
      <w:pPr>
        <w:pageBreakBefore w:val="0"/>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收入占比</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使用柱状图和饼状图对比每种支付方式的收入情况，并给出每种支付方式下具体收入金额、支付笔数、收入金额占比、支付笔数占比。</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4032250" cy="2038350"/>
            <wp:effectExtent l="0" t="0" r="635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0"/>
                    <a:stretch>
                      <a:fillRect/>
                    </a:stretch>
                  </pic:blipFill>
                  <pic:spPr>
                    <a:xfrm>
                      <a:off x="0" y="0"/>
                      <a:ext cx="4032250" cy="203835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064000" cy="1898650"/>
            <wp:effectExtent l="0" t="0" r="1270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1"/>
                    <a:stretch>
                      <a:fillRect/>
                    </a:stretch>
                  </pic:blipFill>
                  <pic:spPr>
                    <a:xfrm>
                      <a:off x="0" y="0"/>
                      <a:ext cx="4064000" cy="189865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305560"/>
            <wp:effectExtent l="0" t="0" r="2540" b="889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2"/>
                    <a:stretch>
                      <a:fillRect/>
                    </a:stretch>
                  </pic:blipFill>
                  <pic:spPr>
                    <a:xfrm>
                      <a:off x="0" y="0"/>
                      <a:ext cx="5274310" cy="1306138"/>
                    </a:xfrm>
                    <a:prstGeom prst="rect">
                      <a:avLst/>
                    </a:prstGeom>
                  </pic:spPr>
                </pic:pic>
              </a:graphicData>
            </a:graphic>
          </wp:inline>
        </w:drawing>
      </w:r>
    </w:p>
    <w:p>
      <w:pPr>
        <w:pageBreakBefore w:val="0"/>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收入趋势</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根据搜索选项“”时间粒度”分别以小时或天为单位显示收入金额趋势和支付笔数趋势。</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296670"/>
            <wp:effectExtent l="0" t="0" r="2540" b="1778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3"/>
                    <a:stretch>
                      <a:fillRect/>
                    </a:stretch>
                  </pic:blipFill>
                  <pic:spPr>
                    <a:xfrm>
                      <a:off x="0" y="0"/>
                      <a:ext cx="5274310" cy="1297212"/>
                    </a:xfrm>
                    <a:prstGeom prst="rect">
                      <a:avLst/>
                    </a:prstGeom>
                  </pic:spPr>
                </pic:pic>
              </a:graphicData>
            </a:graphic>
          </wp:inline>
        </w:drawing>
      </w:r>
    </w:p>
    <w:p>
      <w:pPr>
        <w:pageBreakBefore w:val="0"/>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应收/实收-详细数据</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根据搜索选项“”时间粒度”分别以小时或天为单位汇总不同支付方式下的收入。</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434465"/>
            <wp:effectExtent l="0" t="0" r="2540" b="1333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4"/>
                    <a:stretch>
                      <a:fillRect/>
                    </a:stretch>
                  </pic:blipFill>
                  <pic:spPr>
                    <a:xfrm>
                      <a:off x="0" y="0"/>
                      <a:ext cx="5274310" cy="1434563"/>
                    </a:xfrm>
                    <a:prstGeom prst="rect">
                      <a:avLst/>
                    </a:prstGeom>
                  </pic:spPr>
                </pic:pic>
              </a:graphicData>
            </a:graphic>
          </wp:inline>
        </w:drawing>
      </w:r>
    </w:p>
    <w:p>
      <w:pPr>
        <w:pStyle w:val="4"/>
        <w:rPr>
          <w:rFonts w:hint="eastAsia"/>
        </w:rPr>
      </w:pPr>
      <w:bookmarkStart w:id="8" w:name="_Toc17557"/>
      <w:r>
        <w:rPr>
          <w:rFonts w:hint="eastAsia"/>
          <w:lang w:val="en-US" w:eastAsia="zh-CN"/>
        </w:rPr>
        <w:t>2</w:t>
      </w:r>
      <w:r>
        <w:rPr>
          <w:rFonts w:hint="eastAsia"/>
        </w:rPr>
        <w:t>.2.2流量统计</w:t>
      </w:r>
      <w:bookmarkEnd w:id="8"/>
    </w:p>
    <w:p>
      <w:pPr>
        <w:pStyle w:val="5"/>
        <w:rPr>
          <w:rFonts w:hint="eastAsia"/>
        </w:rPr>
      </w:pPr>
      <w:r>
        <w:rPr>
          <w:rFonts w:hint="eastAsia"/>
        </w:rPr>
        <w:t>使用场景</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车场管理员查看一段时间内的车流量情况。</w:t>
      </w:r>
    </w:p>
    <w:p>
      <w:pPr>
        <w:pStyle w:val="5"/>
        <w:rPr>
          <w:rFonts w:hint="eastAsia"/>
        </w:rPr>
      </w:pPr>
      <w:r>
        <w:rPr>
          <w:rFonts w:hint="eastAsia"/>
        </w:rPr>
        <w:t>操作说明</w:t>
      </w:r>
    </w:p>
    <w:p>
      <w:pPr>
        <w:pageBreakBefore w:val="0"/>
        <w:numPr>
          <w:ilvl w:val="0"/>
          <w:numId w:val="6"/>
        </w:numPr>
        <w:kinsoku/>
        <w:wordWrap/>
        <w:overflowPunct/>
        <w:topLinePunct w:val="0"/>
        <w:autoSpaceDE/>
        <w:autoSpaceDN/>
        <w:bidi w:val="0"/>
        <w:adjustRightInd/>
        <w:snapToGrid/>
        <w:spacing w:line="360" w:lineRule="auto"/>
        <w:jc w:val="left"/>
        <w:textAlignment w:val="auto"/>
        <w:rPr>
          <w:rFonts w:hint="eastAsia"/>
        </w:rPr>
      </w:pPr>
      <w:r>
        <w:rPr>
          <w:rFonts w:hint="eastAsia"/>
        </w:rPr>
        <w:t>车场选择：选择不同车场切换不同车场交账记录，默认上一次选择的车场；例如我在任意一个页面选择了车场1，那么进入其他页面时默认的就是车场1的数据，如果我在新的页面选择了车场2，那么再进入其他页面时就默认车场2的数据了。</w:t>
      </w:r>
    </w:p>
    <w:p>
      <w:pPr>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rPr>
      </w:pPr>
      <w:r>
        <w:rPr>
          <w:rFonts w:hint="eastAsia"/>
        </w:rPr>
        <w:t>时间粒度：默认小时，当前页面汇总数据、柱状图、饼状图统计查询日期内的数据，收入趋势和应收实收明细按照小时单位显示；切换选择天，当前页面汇总数据、柱状图、饼状图统计当月数据，收入趋势和应收实收明细按照天为单位显示。</w:t>
      </w:r>
    </w:p>
    <w:p>
      <w:pPr>
        <w:pageBreakBefore w:val="0"/>
        <w:numPr>
          <w:ilvl w:val="0"/>
          <w:numId w:val="6"/>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导出：点击导出，系统保存查询记录为.csv文件到本地。</w:t>
      </w:r>
    </w:p>
    <w:p>
      <w:pPr>
        <w:pStyle w:val="5"/>
        <w:rPr>
          <w:rFonts w:hint="eastAsia"/>
        </w:rPr>
      </w:pPr>
      <w:r>
        <w:rPr>
          <w:rFonts w:hint="eastAsia"/>
        </w:rPr>
        <w:t>业务说明</w:t>
      </w:r>
    </w:p>
    <w:p>
      <w:pPr>
        <w:pageBreakBefore w:val="0"/>
        <w:numPr>
          <w:ilvl w:val="0"/>
          <w:numId w:val="7"/>
        </w:numPr>
        <w:kinsoku/>
        <w:wordWrap/>
        <w:overflowPunct/>
        <w:topLinePunct w:val="0"/>
        <w:autoSpaceDE/>
        <w:autoSpaceDN/>
        <w:bidi w:val="0"/>
        <w:adjustRightInd/>
        <w:snapToGrid/>
        <w:spacing w:line="360" w:lineRule="auto"/>
        <w:jc w:val="left"/>
        <w:textAlignment w:val="auto"/>
        <w:rPr>
          <w:rFonts w:hint="eastAsia"/>
        </w:rPr>
      </w:pPr>
      <w:r>
        <w:rPr>
          <w:rFonts w:hint="eastAsia"/>
        </w:rPr>
        <w:t>汇总数据</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根据时间粒度，汇总当日或者当月出场流量和进场流量。</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118100" cy="781050"/>
            <wp:effectExtent l="0" t="0" r="635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5"/>
                    <a:stretch>
                      <a:fillRect/>
                    </a:stretch>
                  </pic:blipFill>
                  <pic:spPr>
                    <a:xfrm>
                      <a:off x="0" y="0"/>
                      <a:ext cx="5118100" cy="781050"/>
                    </a:xfrm>
                    <a:prstGeom prst="rect">
                      <a:avLst/>
                    </a:prstGeom>
                  </pic:spPr>
                </pic:pic>
              </a:graphicData>
            </a:graphic>
          </wp:inline>
        </w:drawing>
      </w:r>
    </w:p>
    <w:p>
      <w:pPr>
        <w:pageBreakBefore w:val="0"/>
        <w:numPr>
          <w:ilvl w:val="0"/>
          <w:numId w:val="7"/>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流量占比</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使用柱状图和饼状图对比各种类型车下的流量情况，并给出每种类型车下具体出入场流量和占比。</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07000" cy="1968500"/>
            <wp:effectExtent l="0" t="0" r="12700" b="1270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6"/>
                    <a:stretch>
                      <a:fillRect/>
                    </a:stretch>
                  </pic:blipFill>
                  <pic:spPr>
                    <a:xfrm>
                      <a:off x="0" y="0"/>
                      <a:ext cx="5207000" cy="196850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178300" cy="1873250"/>
            <wp:effectExtent l="0" t="0" r="12700" b="1270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7"/>
                    <a:stretch>
                      <a:fillRect/>
                    </a:stretch>
                  </pic:blipFill>
                  <pic:spPr>
                    <a:xfrm>
                      <a:off x="0" y="0"/>
                      <a:ext cx="4178300" cy="187325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540510"/>
            <wp:effectExtent l="0" t="0" r="2540" b="254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8"/>
                    <a:stretch>
                      <a:fillRect/>
                    </a:stretch>
                  </pic:blipFill>
                  <pic:spPr>
                    <a:xfrm>
                      <a:off x="0" y="0"/>
                      <a:ext cx="5274310" cy="1540782"/>
                    </a:xfrm>
                    <a:prstGeom prst="rect">
                      <a:avLst/>
                    </a:prstGeom>
                  </pic:spPr>
                </pic:pic>
              </a:graphicData>
            </a:graphic>
          </wp:inline>
        </w:drawing>
      </w:r>
    </w:p>
    <w:p>
      <w:pPr>
        <w:pageBreakBefore w:val="0"/>
        <w:numPr>
          <w:ilvl w:val="0"/>
          <w:numId w:val="7"/>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流量趋势</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根据搜索选项“”时间粒度”分别以小时或天为单位显示出场流量和入场流量趋势，例如从下图中可以看出出入场流量峰值。</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745615"/>
            <wp:effectExtent l="0" t="0" r="2540" b="698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9"/>
                    <a:stretch>
                      <a:fillRect/>
                    </a:stretch>
                  </pic:blipFill>
                  <pic:spPr>
                    <a:xfrm>
                      <a:off x="0" y="0"/>
                      <a:ext cx="5274310" cy="1745894"/>
                    </a:xfrm>
                    <a:prstGeom prst="rect">
                      <a:avLst/>
                    </a:prstGeom>
                  </pic:spPr>
                </pic:pic>
              </a:graphicData>
            </a:graphic>
          </wp:inline>
        </w:drawing>
      </w:r>
    </w:p>
    <w:p>
      <w:pPr>
        <w:pageBreakBefore w:val="0"/>
        <w:numPr>
          <w:ilvl w:val="0"/>
          <w:numId w:val="7"/>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进出场流量-详细数据</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根据搜索选项“”时间粒度”分别以小时或天为单位汇总不同车类型下的进出场流量。</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759585"/>
            <wp:effectExtent l="0" t="0" r="2540" b="1206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20"/>
                    <a:stretch>
                      <a:fillRect/>
                    </a:stretch>
                  </pic:blipFill>
                  <pic:spPr>
                    <a:xfrm>
                      <a:off x="0" y="0"/>
                      <a:ext cx="5274310" cy="1759935"/>
                    </a:xfrm>
                    <a:prstGeom prst="rect">
                      <a:avLst/>
                    </a:prstGeom>
                  </pic:spPr>
                </pic:pic>
              </a:graphicData>
            </a:graphic>
          </wp:inline>
        </w:drawing>
      </w:r>
    </w:p>
    <w:p>
      <w:pPr>
        <w:pStyle w:val="4"/>
        <w:rPr>
          <w:rFonts w:hint="eastAsia"/>
        </w:rPr>
      </w:pPr>
      <w:bookmarkStart w:id="9" w:name="_Toc8129"/>
      <w:r>
        <w:rPr>
          <w:rFonts w:hint="eastAsia"/>
          <w:lang w:val="en-US" w:eastAsia="zh-CN"/>
        </w:rPr>
        <w:t>2</w:t>
      </w:r>
      <w:r>
        <w:rPr>
          <w:rFonts w:hint="eastAsia"/>
        </w:rPr>
        <w:t>.2.3饱和度统计</w:t>
      </w:r>
      <w:bookmarkEnd w:id="9"/>
    </w:p>
    <w:p>
      <w:pPr>
        <w:pStyle w:val="5"/>
        <w:rPr>
          <w:rFonts w:hint="eastAsia"/>
        </w:rPr>
      </w:pPr>
      <w:r>
        <w:rPr>
          <w:rFonts w:hint="eastAsia"/>
        </w:rPr>
        <w:t>使用场景</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车场管理员查看一段时间内的车场饱和度。</w:t>
      </w:r>
    </w:p>
    <w:p>
      <w:pPr>
        <w:pStyle w:val="5"/>
        <w:rPr>
          <w:rFonts w:hint="eastAsia"/>
        </w:rPr>
      </w:pPr>
      <w:r>
        <w:rPr>
          <w:rFonts w:hint="eastAsia"/>
        </w:rPr>
        <w:t>操作说明</w:t>
      </w:r>
    </w:p>
    <w:p>
      <w:pPr>
        <w:pageBreakBefore w:val="0"/>
        <w:numPr>
          <w:ilvl w:val="0"/>
          <w:numId w:val="8"/>
        </w:numPr>
        <w:kinsoku/>
        <w:wordWrap/>
        <w:overflowPunct/>
        <w:topLinePunct w:val="0"/>
        <w:autoSpaceDE/>
        <w:autoSpaceDN/>
        <w:bidi w:val="0"/>
        <w:adjustRightInd/>
        <w:snapToGrid/>
        <w:spacing w:line="360" w:lineRule="auto"/>
        <w:jc w:val="left"/>
        <w:textAlignment w:val="auto"/>
        <w:rPr>
          <w:rFonts w:hint="eastAsia"/>
        </w:rPr>
      </w:pPr>
      <w:r>
        <w:rPr>
          <w:rFonts w:hint="eastAsia"/>
        </w:rPr>
        <w:t>车场选择：选择不同车场切换不同车场交账记录，默认上一次选择的车场；例如我在任意一个页面选择了车场1，那么进入其他页面时默认的就是车场1的数据，如果我在新的页面选择了车场2，那么再进入其他页面时就默认车场2的数据了。</w:t>
      </w:r>
    </w:p>
    <w:p>
      <w:pPr>
        <w:pageBreakBefore w:val="0"/>
        <w:numPr>
          <w:ilvl w:val="0"/>
          <w:numId w:val="8"/>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查询日期：默认查询昨日数据，可切换日期查询最近两个月的数据。</w:t>
      </w:r>
    </w:p>
    <w:p>
      <w:pPr>
        <w:pStyle w:val="5"/>
        <w:rPr>
          <w:rFonts w:hint="eastAsia"/>
        </w:rPr>
      </w:pPr>
      <w:r>
        <w:rPr>
          <w:rFonts w:hint="eastAsia"/>
        </w:rPr>
        <w:t>业务说明</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饱和度趋势</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以小时为单位分析饱和度趋势，趋势图默认显示昨日数据。</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4222750" cy="1352550"/>
            <wp:effectExtent l="0" t="0" r="635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21"/>
                    <a:stretch>
                      <a:fillRect/>
                    </a:stretch>
                  </pic:blipFill>
                  <pic:spPr>
                    <a:xfrm>
                      <a:off x="0" y="0"/>
                      <a:ext cx="4222750" cy="1352550"/>
                    </a:xfrm>
                    <a:prstGeom prst="rect">
                      <a:avLst/>
                    </a:prstGeom>
                  </pic:spPr>
                </pic:pic>
              </a:graphicData>
            </a:graphic>
          </wp:inline>
        </w:drawing>
      </w:r>
    </w:p>
    <w:p>
      <w:pPr>
        <w:pStyle w:val="4"/>
        <w:rPr>
          <w:rFonts w:hint="eastAsia"/>
        </w:rPr>
      </w:pPr>
      <w:bookmarkStart w:id="10" w:name="_Toc5684"/>
      <w:r>
        <w:rPr>
          <w:rFonts w:hint="eastAsia"/>
          <w:lang w:val="en-US" w:eastAsia="zh-CN"/>
        </w:rPr>
        <w:t>2</w:t>
      </w:r>
      <w:r>
        <w:rPr>
          <w:rFonts w:hint="eastAsia"/>
        </w:rPr>
        <w:t>.2.4停车时长统计</w:t>
      </w:r>
      <w:bookmarkEnd w:id="10"/>
    </w:p>
    <w:p>
      <w:pPr>
        <w:pStyle w:val="5"/>
        <w:rPr>
          <w:rFonts w:hint="eastAsia"/>
        </w:rPr>
      </w:pPr>
      <w:r>
        <w:rPr>
          <w:rFonts w:hint="eastAsia"/>
        </w:rPr>
        <w:t>使用场景</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车场管理员查看不同停车时长下的停车数量，用于决策分析，例如在商场停车场发现停车2-4小时车辆非常多，可以采取措施对停车超过4小时减免车费，增加停车时长。</w:t>
      </w:r>
    </w:p>
    <w:p>
      <w:pPr>
        <w:pStyle w:val="5"/>
        <w:rPr>
          <w:rFonts w:hint="eastAsia"/>
        </w:rPr>
      </w:pPr>
      <w:r>
        <w:rPr>
          <w:rFonts w:hint="eastAsia"/>
        </w:rPr>
        <w:t>操作说明</w:t>
      </w:r>
    </w:p>
    <w:p>
      <w:pPr>
        <w:pageBreakBefore w:val="0"/>
        <w:numPr>
          <w:ilvl w:val="0"/>
          <w:numId w:val="9"/>
        </w:numPr>
        <w:kinsoku/>
        <w:wordWrap/>
        <w:overflowPunct/>
        <w:topLinePunct w:val="0"/>
        <w:autoSpaceDE/>
        <w:autoSpaceDN/>
        <w:bidi w:val="0"/>
        <w:adjustRightInd/>
        <w:snapToGrid/>
        <w:spacing w:line="360" w:lineRule="auto"/>
        <w:jc w:val="left"/>
        <w:textAlignment w:val="auto"/>
        <w:rPr>
          <w:rFonts w:hint="eastAsia"/>
        </w:rPr>
      </w:pPr>
      <w:r>
        <w:rPr>
          <w:rFonts w:hint="eastAsia"/>
        </w:rPr>
        <w:t>车场选择：选择不同车场切换不同车场交账记录，默认上一次选择的车场；例如我在任意一个页面选择了车场1，那么进入其他页面时默认的就是车场1的数据，如果我在新的页面选择了车场2，那么再进入其他页面时就默认车场2的数据了。</w:t>
      </w:r>
    </w:p>
    <w:p>
      <w:pPr>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rPr>
      </w:pPr>
      <w:r>
        <w:rPr>
          <w:rFonts w:hint="eastAsia"/>
        </w:rPr>
        <w:t>时间范围：默认展示近一个月数据。</w:t>
      </w:r>
    </w:p>
    <w:p>
      <w:pPr>
        <w:pageBreakBefore w:val="0"/>
        <w:numPr>
          <w:ilvl w:val="0"/>
          <w:numId w:val="9"/>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导出：点击导出，系统保存查询记录为.csv文件到本地。</w:t>
      </w:r>
    </w:p>
    <w:p>
      <w:pPr>
        <w:pStyle w:val="5"/>
        <w:rPr>
          <w:rFonts w:hint="eastAsia"/>
        </w:rPr>
      </w:pPr>
      <w:r>
        <w:rPr>
          <w:rFonts w:hint="eastAsia"/>
        </w:rPr>
        <w:t>业务说明</w:t>
      </w:r>
    </w:p>
    <w:p>
      <w:pPr>
        <w:pageBreakBefore w:val="0"/>
        <w:numPr>
          <w:ilvl w:val="0"/>
          <w:numId w:val="10"/>
        </w:numPr>
        <w:kinsoku/>
        <w:wordWrap/>
        <w:overflowPunct/>
        <w:topLinePunct w:val="0"/>
        <w:autoSpaceDE/>
        <w:autoSpaceDN/>
        <w:bidi w:val="0"/>
        <w:adjustRightInd/>
        <w:snapToGrid/>
        <w:spacing w:line="360" w:lineRule="auto"/>
        <w:jc w:val="left"/>
        <w:textAlignment w:val="auto"/>
        <w:rPr>
          <w:rFonts w:hint="eastAsia"/>
        </w:rPr>
      </w:pPr>
      <w:r>
        <w:rPr>
          <w:rFonts w:hint="eastAsia"/>
        </w:rPr>
        <w:t>停车时长占比</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按照9个时间段划分，统计不同时长下停车数量及占比：0~15分钟、15~30分钟、30~60分钟/1~2小时、2~4小时、4~8小时、8~12小时、12~24小时、大于24小时；从下图中我们可以看出停1-2小时和2-4小时的车辆最多，符合商场停车规律。</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156200" cy="2197100"/>
            <wp:effectExtent l="0" t="0" r="6350" b="1270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22"/>
                    <a:stretch>
                      <a:fillRect/>
                    </a:stretch>
                  </pic:blipFill>
                  <pic:spPr>
                    <a:xfrm>
                      <a:off x="0" y="0"/>
                      <a:ext cx="5156200" cy="2197100"/>
                    </a:xfrm>
                    <a:prstGeom prst="rect">
                      <a:avLst/>
                    </a:prstGeom>
                  </pic:spPr>
                </pic:pic>
              </a:graphicData>
            </a:graphic>
          </wp:inline>
        </w:drawing>
      </w:r>
    </w:p>
    <w:p>
      <w:pPr>
        <w:pageBreakBefore w:val="0"/>
        <w:numPr>
          <w:ilvl w:val="0"/>
          <w:numId w:val="10"/>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停车时长分布</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使用面积堆叠图可以看出停1-2小时和2-4小时的车辆最多，并且能够看出周末停车最多。</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4508500" cy="2089150"/>
            <wp:effectExtent l="0" t="0" r="6350" b="635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23"/>
                    <a:stretch>
                      <a:fillRect/>
                    </a:stretch>
                  </pic:blipFill>
                  <pic:spPr>
                    <a:xfrm>
                      <a:off x="0" y="0"/>
                      <a:ext cx="4508500" cy="2089150"/>
                    </a:xfrm>
                    <a:prstGeom prst="rect">
                      <a:avLst/>
                    </a:prstGeom>
                  </pic:spPr>
                </pic:pic>
              </a:graphicData>
            </a:graphic>
          </wp:inline>
        </w:drawing>
      </w:r>
    </w:p>
    <w:p>
      <w:pPr>
        <w:pageBreakBefore w:val="0"/>
        <w:numPr>
          <w:ilvl w:val="0"/>
          <w:numId w:val="10"/>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停车时长详细数据</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默认给出近一月不同时长下停车数据，切换日期刷新筛选数据。</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635760"/>
            <wp:effectExtent l="0" t="0" r="2540" b="254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24"/>
                    <a:stretch>
                      <a:fillRect/>
                    </a:stretch>
                  </pic:blipFill>
                  <pic:spPr>
                    <a:xfrm>
                      <a:off x="0" y="0"/>
                      <a:ext cx="5274310" cy="1636013"/>
                    </a:xfrm>
                    <a:prstGeom prst="rect">
                      <a:avLst/>
                    </a:prstGeom>
                  </pic:spPr>
                </pic:pic>
              </a:graphicData>
            </a:graphic>
          </wp:inline>
        </w:drawing>
      </w:r>
    </w:p>
    <w:p>
      <w:pPr>
        <w:pStyle w:val="4"/>
        <w:rPr>
          <w:rFonts w:hint="eastAsia"/>
        </w:rPr>
      </w:pPr>
      <w:bookmarkStart w:id="11" w:name="_Toc18784"/>
      <w:r>
        <w:rPr>
          <w:rFonts w:hint="eastAsia"/>
          <w:lang w:val="en-US" w:eastAsia="zh-CN"/>
        </w:rPr>
        <w:t>2</w:t>
      </w:r>
      <w:r>
        <w:rPr>
          <w:rFonts w:hint="eastAsia"/>
        </w:rPr>
        <w:t>.2.5免费放行统计</w:t>
      </w:r>
      <w:bookmarkEnd w:id="11"/>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主要用于财务对账时查询应收与实收不等的原因。可以选择时间范围查看单车场免费放行车辆的数据及分析报表。</w:t>
      </w:r>
    </w:p>
    <w:p>
      <w:pPr>
        <w:pStyle w:val="5"/>
        <w:rPr>
          <w:rFonts w:hint="eastAsia"/>
        </w:rPr>
      </w:pPr>
      <w:r>
        <w:rPr>
          <w:rFonts w:hint="eastAsia"/>
        </w:rPr>
        <w:t>使用场景</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主要用于财务对账时查询应收与实收不等的原因。</w:t>
      </w:r>
    </w:p>
    <w:p>
      <w:pPr>
        <w:pStyle w:val="5"/>
        <w:rPr>
          <w:rFonts w:hint="eastAsia"/>
        </w:rPr>
      </w:pPr>
      <w:r>
        <w:rPr>
          <w:rFonts w:hint="eastAsia"/>
        </w:rPr>
        <w:t>操作说明</w:t>
      </w:r>
    </w:p>
    <w:p>
      <w:pPr>
        <w:pageBreakBefore w:val="0"/>
        <w:numPr>
          <w:ilvl w:val="0"/>
          <w:numId w:val="11"/>
        </w:numPr>
        <w:kinsoku/>
        <w:wordWrap/>
        <w:overflowPunct/>
        <w:topLinePunct w:val="0"/>
        <w:autoSpaceDE/>
        <w:autoSpaceDN/>
        <w:bidi w:val="0"/>
        <w:adjustRightInd/>
        <w:snapToGrid/>
        <w:spacing w:line="360" w:lineRule="auto"/>
        <w:jc w:val="left"/>
        <w:textAlignment w:val="auto"/>
        <w:rPr>
          <w:rFonts w:hint="eastAsia"/>
        </w:rPr>
      </w:pPr>
      <w:r>
        <w:rPr>
          <w:rFonts w:hint="eastAsia"/>
        </w:rPr>
        <w:t>车场选择：选择不同车场切换不同车场交账记录，默认上一次选择的车场；例如我在任意一个页面选择了车场1，那么进入其他页面时默认的就是车场1的数据，如果我在新的页面选择了车场2，那么再进入其他页面时就默认车场2的数据了。</w:t>
      </w:r>
    </w:p>
    <w:p>
      <w:pPr>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rPr>
      </w:pPr>
      <w:r>
        <w:rPr>
          <w:rFonts w:hint="eastAsia"/>
        </w:rPr>
        <w:t>时间范围：默认展示近一个月数据。</w:t>
      </w:r>
    </w:p>
    <w:p>
      <w:pPr>
        <w:pageBreakBefore w:val="0"/>
        <w:numPr>
          <w:ilvl w:val="0"/>
          <w:numId w:val="11"/>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导出：点击导出，系统保存查询记录为.csv文件到本地。</w:t>
      </w:r>
    </w:p>
    <w:p>
      <w:pPr>
        <w:pStyle w:val="5"/>
        <w:rPr>
          <w:rFonts w:hint="eastAsia"/>
        </w:rPr>
      </w:pPr>
      <w:r>
        <w:rPr>
          <w:rFonts w:hint="eastAsia"/>
        </w:rPr>
        <w:t>业务说明</w:t>
      </w:r>
    </w:p>
    <w:p>
      <w:pPr>
        <w:pageBreakBefore w:val="0"/>
        <w:numPr>
          <w:ilvl w:val="0"/>
          <w:numId w:val="12"/>
        </w:numPr>
        <w:kinsoku/>
        <w:wordWrap/>
        <w:overflowPunct/>
        <w:topLinePunct w:val="0"/>
        <w:autoSpaceDE/>
        <w:autoSpaceDN/>
        <w:bidi w:val="0"/>
        <w:adjustRightInd/>
        <w:snapToGrid/>
        <w:spacing w:line="360" w:lineRule="auto"/>
        <w:jc w:val="left"/>
        <w:textAlignment w:val="auto"/>
        <w:rPr>
          <w:rFonts w:hint="eastAsia"/>
        </w:rPr>
      </w:pPr>
      <w:r>
        <w:rPr>
          <w:rFonts w:hint="eastAsia"/>
        </w:rPr>
        <w:t>按照放行原因或者放行人员分别统计免费放行的金额和数量；</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640205"/>
            <wp:effectExtent l="0" t="0" r="2540" b="1714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5"/>
                    <a:stretch>
                      <a:fillRect/>
                    </a:stretch>
                  </pic:blipFill>
                  <pic:spPr>
                    <a:xfrm>
                      <a:off x="0" y="0"/>
                      <a:ext cx="5274310" cy="1640286"/>
                    </a:xfrm>
                    <a:prstGeom prst="rect">
                      <a:avLst/>
                    </a:prstGeom>
                  </pic:spPr>
                </pic:pic>
              </a:graphicData>
            </a:graphic>
          </wp:inline>
        </w:drawing>
      </w:r>
    </w:p>
    <w:p>
      <w:pPr>
        <w:pageBreakBefore w:val="0"/>
        <w:numPr>
          <w:ilvl w:val="0"/>
          <w:numId w:val="12"/>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提供柱图、饼图对比每个放行原因或者放行人员下的免费放行金额和数量；</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64150" cy="1657350"/>
            <wp:effectExtent l="0" t="0" r="1270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6"/>
                    <a:stretch>
                      <a:fillRect/>
                    </a:stretch>
                  </pic:blipFill>
                  <pic:spPr>
                    <a:xfrm>
                      <a:off x="0" y="0"/>
                      <a:ext cx="5271996" cy="1659820"/>
                    </a:xfrm>
                    <a:prstGeom prst="rect">
                      <a:avLst/>
                    </a:prstGeom>
                  </pic:spPr>
                </pic:pic>
              </a:graphicData>
            </a:graphic>
          </wp:inline>
        </w:drawing>
      </w:r>
    </w:p>
    <w:p>
      <w:pPr>
        <w:pageBreakBefore w:val="0"/>
        <w:numPr>
          <w:ilvl w:val="0"/>
          <w:numId w:val="12"/>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可以查看每一天的免费放行明细，点击记录，弹出免费放行列表，鼠标放在出入口名称上能够看到出入口图片。</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908175"/>
            <wp:effectExtent l="0" t="0" r="2540" b="1587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27"/>
                    <a:stretch>
                      <a:fillRect/>
                    </a:stretch>
                  </pic:blipFill>
                  <pic:spPr>
                    <a:xfrm>
                      <a:off x="0" y="0"/>
                      <a:ext cx="5274310" cy="1908275"/>
                    </a:xfrm>
                    <a:prstGeom prst="rect">
                      <a:avLst/>
                    </a:prstGeom>
                  </pic:spPr>
                </pic:pic>
              </a:graphicData>
            </a:graphic>
          </wp:inline>
        </w:drawing>
      </w:r>
    </w:p>
    <w:p>
      <w:pPr>
        <w:pStyle w:val="4"/>
        <w:rPr>
          <w:rFonts w:hint="eastAsia"/>
        </w:rPr>
      </w:pPr>
      <w:bookmarkStart w:id="12" w:name="_Toc8444"/>
      <w:r>
        <w:rPr>
          <w:rFonts w:hint="eastAsia"/>
        </w:rPr>
        <w:t>3.2.6来源地分析</w:t>
      </w:r>
      <w:bookmarkEnd w:id="12"/>
    </w:p>
    <w:p>
      <w:pPr>
        <w:pStyle w:val="5"/>
        <w:rPr>
          <w:rFonts w:hint="eastAsia"/>
        </w:rPr>
      </w:pPr>
      <w:r>
        <w:rPr>
          <w:rFonts w:hint="eastAsia"/>
        </w:rPr>
        <w:t>使用场景</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该功能目前较多用于景区，景区经营者可根据车牌的来源地分析选择性的加大特定省份的营销力度。展示指定车场特定周期内各省车牌号的排名，鼠标滑动至省份柱状图上时，右侧会显示该省各地区的车牌号排行。</w:t>
      </w:r>
    </w:p>
    <w:p>
      <w:pPr>
        <w:pStyle w:val="5"/>
        <w:rPr>
          <w:rFonts w:hint="eastAsia"/>
        </w:rPr>
      </w:pPr>
      <w:r>
        <w:rPr>
          <w:rFonts w:hint="eastAsia"/>
        </w:rPr>
        <w:t>操作说明</w:t>
      </w:r>
    </w:p>
    <w:p>
      <w:pPr>
        <w:pageBreakBefore w:val="0"/>
        <w:numPr>
          <w:ilvl w:val="0"/>
          <w:numId w:val="13"/>
        </w:numPr>
        <w:kinsoku/>
        <w:wordWrap/>
        <w:overflowPunct/>
        <w:topLinePunct w:val="0"/>
        <w:autoSpaceDE/>
        <w:autoSpaceDN/>
        <w:bidi w:val="0"/>
        <w:adjustRightInd/>
        <w:snapToGrid/>
        <w:spacing w:line="360" w:lineRule="auto"/>
        <w:jc w:val="left"/>
        <w:textAlignment w:val="auto"/>
        <w:rPr>
          <w:rFonts w:hint="eastAsia"/>
        </w:rPr>
      </w:pPr>
      <w:r>
        <w:rPr>
          <w:rFonts w:hint="eastAsia"/>
        </w:rPr>
        <w:t>车场选择：选择不同车场切换不同车场交账记录，默认上一次选择的车场；例如我在任意一个页面选择了车场1，那么进入其他页面时默认的就是车场1的数据，如果我在新的页面选择了车场2，那么再进入其他页面时就默认车场2的数据了。</w:t>
      </w:r>
    </w:p>
    <w:p>
      <w:pPr>
        <w:pageBreakBefore w:val="0"/>
        <w:numPr>
          <w:ilvl w:val="0"/>
          <w:numId w:val="13"/>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查询日期：默认展示近一个月数据。</w:t>
      </w:r>
    </w:p>
    <w:p>
      <w:pPr>
        <w:pageBreakBefore w:val="0"/>
        <w:numPr>
          <w:ilvl w:val="0"/>
          <w:numId w:val="13"/>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省份选择：可以选择全国任意一个省份。</w:t>
      </w:r>
    </w:p>
    <w:p>
      <w:pPr>
        <w:pageBreakBefore w:val="0"/>
        <w:numPr>
          <w:ilvl w:val="0"/>
          <w:numId w:val="13"/>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导出：点击导出，系统保存查询记录为.csv文件到本地。</w:t>
      </w:r>
    </w:p>
    <w:p>
      <w:pPr>
        <w:pStyle w:val="5"/>
        <w:rPr>
          <w:rFonts w:hint="eastAsia"/>
        </w:rPr>
      </w:pPr>
      <w:r>
        <w:rPr>
          <w:rFonts w:hint="eastAsia"/>
        </w:rPr>
        <w:t>业务说明</w:t>
      </w:r>
    </w:p>
    <w:p>
      <w:pPr>
        <w:pageBreakBefore w:val="0"/>
        <w:numPr>
          <w:ilvl w:val="0"/>
          <w:numId w:val="14"/>
        </w:numPr>
        <w:kinsoku/>
        <w:wordWrap/>
        <w:overflowPunct/>
        <w:topLinePunct w:val="0"/>
        <w:autoSpaceDE/>
        <w:autoSpaceDN/>
        <w:bidi w:val="0"/>
        <w:adjustRightInd/>
        <w:snapToGrid/>
        <w:spacing w:line="360" w:lineRule="auto"/>
        <w:jc w:val="left"/>
        <w:textAlignment w:val="auto"/>
        <w:rPr>
          <w:rFonts w:hint="eastAsia"/>
        </w:rPr>
      </w:pPr>
      <w:r>
        <w:rPr>
          <w:rFonts w:hint="eastAsia"/>
        </w:rPr>
        <w:t>来源地分析</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根据“日维度”、“月维度”、“年维度”统计不同时间段下车辆来源，鼠标放在左侧统计表条形色块上，右侧会显示当前省份下不同区域车牌号排行。</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5274310" cy="1899285"/>
            <wp:effectExtent l="0" t="0" r="2540" b="571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28"/>
                    <a:stretch>
                      <a:fillRect/>
                    </a:stretch>
                  </pic:blipFill>
                  <pic:spPr>
                    <a:xfrm>
                      <a:off x="0" y="0"/>
                      <a:ext cx="5274310" cy="1899511"/>
                    </a:xfrm>
                    <a:prstGeom prst="rect">
                      <a:avLst/>
                    </a:prstGeom>
                  </pic:spPr>
                </pic:pic>
              </a:graphicData>
            </a:graphic>
          </wp:inline>
        </w:drawing>
      </w:r>
    </w:p>
    <w:p>
      <w:pPr>
        <w:pageBreakBefore w:val="0"/>
        <w:numPr>
          <w:ilvl w:val="0"/>
          <w:numId w:val="14"/>
        </w:numPr>
        <w:kinsoku/>
        <w:wordWrap/>
        <w:overflowPunct/>
        <w:topLinePunct w:val="0"/>
        <w:autoSpaceDE/>
        <w:autoSpaceDN/>
        <w:bidi w:val="0"/>
        <w:adjustRightInd/>
        <w:snapToGrid/>
        <w:spacing w:line="360" w:lineRule="auto"/>
        <w:ind w:left="0" w:leftChars="0" w:firstLine="0" w:firstLineChars="0"/>
        <w:jc w:val="left"/>
        <w:textAlignment w:val="auto"/>
        <w:rPr>
          <w:rFonts w:hint="eastAsia"/>
        </w:rPr>
      </w:pPr>
      <w:r>
        <w:rPr>
          <w:rFonts w:hint="eastAsia"/>
        </w:rPr>
        <w:t>来源地分析详细数据</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统计所选时间范围内不同省份下的车辆数及占比，切换到“年维度”，还会统计“去年同期车辆数” “去年同期占比”。</w:t>
      </w:r>
    </w:p>
    <w:p>
      <w:pPr>
        <w:pageBreakBefore w:val="0"/>
        <w:kinsoku/>
        <w:wordWrap/>
        <w:overflowPunct/>
        <w:topLinePunct w:val="0"/>
        <w:autoSpaceDE/>
        <w:autoSpaceDN/>
        <w:bidi w:val="0"/>
        <w:adjustRightInd/>
        <w:snapToGrid/>
        <w:spacing w:line="360" w:lineRule="auto"/>
        <w:jc w:val="center"/>
        <w:textAlignment w:val="auto"/>
        <w:rPr>
          <w:rFonts w:hint="eastAsia"/>
          <w:sz w:val="24"/>
          <w:szCs w:val="24"/>
        </w:rPr>
      </w:pPr>
      <w:r>
        <w:drawing>
          <wp:inline distT="0" distB="0" distL="0" distR="0">
            <wp:extent cx="5274310" cy="1941195"/>
            <wp:effectExtent l="0" t="0" r="2540" b="190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29"/>
                    <a:stretch>
                      <a:fillRect/>
                    </a:stretch>
                  </pic:blipFill>
                  <pic:spPr>
                    <a:xfrm>
                      <a:off x="0" y="0"/>
                      <a:ext cx="5274310" cy="19415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7B2C72"/>
    <w:multiLevelType w:val="singleLevel"/>
    <w:tmpl w:val="8F7B2C72"/>
    <w:lvl w:ilvl="0" w:tentative="0">
      <w:start w:val="1"/>
      <w:numFmt w:val="decimal"/>
      <w:suff w:val="space"/>
      <w:lvlText w:val="%1."/>
      <w:lvlJc w:val="left"/>
    </w:lvl>
  </w:abstractNum>
  <w:abstractNum w:abstractNumId="1">
    <w:nsid w:val="9967A3BD"/>
    <w:multiLevelType w:val="singleLevel"/>
    <w:tmpl w:val="9967A3BD"/>
    <w:lvl w:ilvl="0" w:tentative="0">
      <w:start w:val="1"/>
      <w:numFmt w:val="decimal"/>
      <w:suff w:val="space"/>
      <w:lvlText w:val="%1."/>
      <w:lvlJc w:val="left"/>
    </w:lvl>
  </w:abstractNum>
  <w:abstractNum w:abstractNumId="2">
    <w:nsid w:val="A7BB92C8"/>
    <w:multiLevelType w:val="singleLevel"/>
    <w:tmpl w:val="A7BB92C8"/>
    <w:lvl w:ilvl="0" w:tentative="0">
      <w:start w:val="1"/>
      <w:numFmt w:val="decimal"/>
      <w:suff w:val="space"/>
      <w:lvlText w:val="%1."/>
      <w:lvlJc w:val="left"/>
    </w:lvl>
  </w:abstractNum>
  <w:abstractNum w:abstractNumId="3">
    <w:nsid w:val="BA60D831"/>
    <w:multiLevelType w:val="singleLevel"/>
    <w:tmpl w:val="BA60D831"/>
    <w:lvl w:ilvl="0" w:tentative="0">
      <w:start w:val="1"/>
      <w:numFmt w:val="decimal"/>
      <w:suff w:val="space"/>
      <w:lvlText w:val="%1."/>
      <w:lvlJc w:val="left"/>
    </w:lvl>
  </w:abstractNum>
  <w:abstractNum w:abstractNumId="4">
    <w:nsid w:val="BA9B32CC"/>
    <w:multiLevelType w:val="singleLevel"/>
    <w:tmpl w:val="BA9B32CC"/>
    <w:lvl w:ilvl="0" w:tentative="0">
      <w:start w:val="1"/>
      <w:numFmt w:val="decimal"/>
      <w:suff w:val="space"/>
      <w:lvlText w:val="%1."/>
      <w:lvlJc w:val="left"/>
    </w:lvl>
  </w:abstractNum>
  <w:abstractNum w:abstractNumId="5">
    <w:nsid w:val="CA3D5442"/>
    <w:multiLevelType w:val="singleLevel"/>
    <w:tmpl w:val="CA3D5442"/>
    <w:lvl w:ilvl="0" w:tentative="0">
      <w:start w:val="1"/>
      <w:numFmt w:val="decimal"/>
      <w:suff w:val="space"/>
      <w:lvlText w:val="%1."/>
      <w:lvlJc w:val="left"/>
    </w:lvl>
  </w:abstractNum>
  <w:abstractNum w:abstractNumId="6">
    <w:nsid w:val="D8C36E0B"/>
    <w:multiLevelType w:val="singleLevel"/>
    <w:tmpl w:val="D8C36E0B"/>
    <w:lvl w:ilvl="0" w:tentative="0">
      <w:start w:val="1"/>
      <w:numFmt w:val="decimal"/>
      <w:suff w:val="space"/>
      <w:lvlText w:val="%1."/>
      <w:lvlJc w:val="left"/>
    </w:lvl>
  </w:abstractNum>
  <w:abstractNum w:abstractNumId="7">
    <w:nsid w:val="FDEFC000"/>
    <w:multiLevelType w:val="singleLevel"/>
    <w:tmpl w:val="FDEFC000"/>
    <w:lvl w:ilvl="0" w:tentative="0">
      <w:start w:val="1"/>
      <w:numFmt w:val="decimal"/>
      <w:suff w:val="space"/>
      <w:lvlText w:val="%1."/>
      <w:lvlJc w:val="left"/>
    </w:lvl>
  </w:abstractNum>
  <w:abstractNum w:abstractNumId="8">
    <w:nsid w:val="0ACAAB6F"/>
    <w:multiLevelType w:val="singleLevel"/>
    <w:tmpl w:val="0ACAAB6F"/>
    <w:lvl w:ilvl="0" w:tentative="0">
      <w:start w:val="1"/>
      <w:numFmt w:val="decimal"/>
      <w:suff w:val="space"/>
      <w:lvlText w:val="%1."/>
      <w:lvlJc w:val="left"/>
    </w:lvl>
  </w:abstractNum>
  <w:abstractNum w:abstractNumId="9">
    <w:nsid w:val="1242595B"/>
    <w:multiLevelType w:val="singleLevel"/>
    <w:tmpl w:val="1242595B"/>
    <w:lvl w:ilvl="0" w:tentative="0">
      <w:start w:val="1"/>
      <w:numFmt w:val="decimal"/>
      <w:suff w:val="space"/>
      <w:lvlText w:val="%1."/>
      <w:lvlJc w:val="left"/>
    </w:lvl>
  </w:abstractNum>
  <w:abstractNum w:abstractNumId="10">
    <w:nsid w:val="1D5D0810"/>
    <w:multiLevelType w:val="singleLevel"/>
    <w:tmpl w:val="1D5D0810"/>
    <w:lvl w:ilvl="0" w:tentative="0">
      <w:start w:val="1"/>
      <w:numFmt w:val="decimal"/>
      <w:suff w:val="space"/>
      <w:lvlText w:val="%1."/>
      <w:lvlJc w:val="left"/>
    </w:lvl>
  </w:abstractNum>
  <w:abstractNum w:abstractNumId="11">
    <w:nsid w:val="5A23BFC9"/>
    <w:multiLevelType w:val="singleLevel"/>
    <w:tmpl w:val="5A23BFC9"/>
    <w:lvl w:ilvl="0" w:tentative="0">
      <w:start w:val="1"/>
      <w:numFmt w:val="decimal"/>
      <w:suff w:val="space"/>
      <w:lvlText w:val="%1."/>
      <w:lvlJc w:val="left"/>
    </w:lvl>
  </w:abstractNum>
  <w:abstractNum w:abstractNumId="12">
    <w:nsid w:val="64587F23"/>
    <w:multiLevelType w:val="singleLevel"/>
    <w:tmpl w:val="64587F23"/>
    <w:lvl w:ilvl="0" w:tentative="0">
      <w:start w:val="1"/>
      <w:numFmt w:val="decimal"/>
      <w:suff w:val="space"/>
      <w:lvlText w:val="%1."/>
      <w:lvlJc w:val="left"/>
    </w:lvl>
  </w:abstractNum>
  <w:abstractNum w:abstractNumId="13">
    <w:nsid w:val="67C52527"/>
    <w:multiLevelType w:val="singleLevel"/>
    <w:tmpl w:val="67C52527"/>
    <w:lvl w:ilvl="0" w:tentative="0">
      <w:start w:val="1"/>
      <w:numFmt w:val="decimal"/>
      <w:suff w:val="space"/>
      <w:lvlText w:val="%1."/>
      <w:lvlJc w:val="left"/>
    </w:lvl>
  </w:abstractNum>
  <w:num w:numId="1">
    <w:abstractNumId w:val="4"/>
  </w:num>
  <w:num w:numId="2">
    <w:abstractNumId w:val="10"/>
  </w:num>
  <w:num w:numId="3">
    <w:abstractNumId w:val="2"/>
  </w:num>
  <w:num w:numId="4">
    <w:abstractNumId w:val="8"/>
  </w:num>
  <w:num w:numId="5">
    <w:abstractNumId w:val="7"/>
  </w:num>
  <w:num w:numId="6">
    <w:abstractNumId w:val="11"/>
  </w:num>
  <w:num w:numId="7">
    <w:abstractNumId w:val="0"/>
  </w:num>
  <w:num w:numId="8">
    <w:abstractNumId w:val="5"/>
  </w:num>
  <w:num w:numId="9">
    <w:abstractNumId w:val="1"/>
  </w:num>
  <w:num w:numId="10">
    <w:abstractNumId w:val="3"/>
  </w:num>
  <w:num w:numId="11">
    <w:abstractNumId w:val="13"/>
  </w:num>
  <w:num w:numId="12">
    <w:abstractNumId w:val="9"/>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633D22"/>
    <w:rsid w:val="12F12D47"/>
    <w:rsid w:val="14633D22"/>
    <w:rsid w:val="17987DEF"/>
    <w:rsid w:val="18AC5CDD"/>
    <w:rsid w:val="25B63E45"/>
    <w:rsid w:val="28A85525"/>
    <w:rsid w:val="4E073DBF"/>
    <w:rsid w:val="5E5D352C"/>
    <w:rsid w:val="6D535020"/>
    <w:rsid w:val="75DF0135"/>
    <w:rsid w:val="7FC011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heme="minorAscii" w:hAnsiTheme="minorAscii"/>
      <w:b/>
      <w:kern w:val="44"/>
      <w:sz w:val="32"/>
    </w:rPr>
  </w:style>
  <w:style w:type="paragraph" w:styleId="3">
    <w:name w:val="heading 2"/>
    <w:basedOn w:val="1"/>
    <w:next w:val="1"/>
    <w:link w:val="13"/>
    <w:unhideWhenUsed/>
    <w:qFormat/>
    <w:uiPriority w:val="0"/>
    <w:pPr>
      <w:keepNext/>
      <w:keepLines/>
      <w:spacing w:before="260" w:beforeLines="0" w:beforeAutospacing="0" w:after="260" w:afterLines="0" w:afterAutospacing="0" w:line="413" w:lineRule="auto"/>
      <w:outlineLvl w:val="1"/>
    </w:pPr>
    <w:rPr>
      <w:rFonts w:ascii="Arial" w:hAnsi="Arial" w:eastAsiaTheme="majorEastAsia"/>
      <w:b/>
      <w:sz w:val="30"/>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eastAsiaTheme="majorEastAsia"/>
      <w:b/>
      <w:sz w:val="2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Theme="majorEastAsia"/>
      <w:b/>
      <w:sz w:val="26"/>
    </w:rPr>
  </w:style>
  <w:style w:type="character" w:default="1" w:styleId="11">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toc 1"/>
    <w:basedOn w:val="1"/>
    <w:next w:val="1"/>
    <w:uiPriority w:val="0"/>
  </w:style>
  <w:style w:type="paragraph" w:styleId="8">
    <w:name w:val="toc 2"/>
    <w:basedOn w:val="1"/>
    <w:next w:val="1"/>
    <w:qFormat/>
    <w:uiPriority w:val="0"/>
    <w:pPr>
      <w:ind w:left="420" w:leftChars="200"/>
    </w:p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2">
    <w:name w:val="样式1"/>
    <w:basedOn w:val="2"/>
    <w:next w:val="1"/>
    <w:uiPriority w:val="0"/>
    <w:rPr>
      <w:rFonts w:asciiTheme="minorAscii" w:hAnsiTheme="minorAscii"/>
    </w:rPr>
  </w:style>
  <w:style w:type="character" w:customStyle="1" w:styleId="13">
    <w:name w:val="标题 2 Char"/>
    <w:link w:val="3"/>
    <w:qFormat/>
    <w:uiPriority w:val="0"/>
    <w:rPr>
      <w:rFonts w:ascii="Arial" w:hAnsi="Arial" w:eastAsiaTheme="majorEastAsia"/>
      <w:b/>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2018-11-22T05:32:00Z</dcterms:created>
  <dc:creator>Administrator</dc:creator>
  <cp:lastModifiedBy>Administrator</cp:lastModifiedBy>
  <dcterms:modified xsi:type="dcterms:W3CDTF">2019-07-12T02:09:29Z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