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spacing w:line="360" w:lineRule="auto"/>
        <w:jc w:val="both"/>
        <w:rPr>
          <w:rFonts w:hint="eastAsia"/>
          <w:b/>
          <w:bCs/>
          <w:sz w:val="44"/>
          <w:szCs w:val="44"/>
          <w:lang w:val="en-US" w:eastAsia="zh-CN"/>
        </w:rPr>
      </w:pPr>
    </w:p>
    <w:p>
      <w:pPr>
        <w:bidi w:val="0"/>
        <w:spacing w:line="360" w:lineRule="auto"/>
        <w:jc w:val="center"/>
        <w:rPr>
          <w:rFonts w:hint="eastAsia"/>
          <w:b/>
          <w:bCs/>
          <w:sz w:val="44"/>
          <w:szCs w:val="44"/>
          <w:lang w:val="en-US" w:eastAsia="zh-CN"/>
        </w:rPr>
      </w:pPr>
    </w:p>
    <w:p>
      <w:pPr>
        <w:bidi w:val="0"/>
        <w:spacing w:line="360" w:lineRule="auto"/>
        <w:jc w:val="center"/>
        <w:rPr>
          <w:rFonts w:hint="eastAsia"/>
          <w:b/>
          <w:bCs/>
          <w:sz w:val="44"/>
          <w:szCs w:val="44"/>
          <w:lang w:val="en-US" w:eastAsia="zh-CN"/>
        </w:rPr>
      </w:pPr>
    </w:p>
    <w:p>
      <w:pPr>
        <w:bidi w:val="0"/>
        <w:spacing w:line="360" w:lineRule="auto"/>
        <w:jc w:val="center"/>
        <w:rPr>
          <w:rFonts w:hint="eastAsia"/>
          <w:b/>
          <w:bCs/>
          <w:sz w:val="44"/>
          <w:szCs w:val="44"/>
          <w:lang w:val="en-US" w:eastAsia="zh-CN"/>
        </w:rPr>
      </w:pPr>
    </w:p>
    <w:p>
      <w:pPr>
        <w:bidi w:val="0"/>
        <w:spacing w:line="360" w:lineRule="auto"/>
        <w:jc w:val="center"/>
        <w:rPr>
          <w:rFonts w:hint="eastAsia"/>
          <w:b/>
          <w:bCs/>
          <w:sz w:val="44"/>
          <w:szCs w:val="44"/>
          <w:lang w:val="en-US" w:eastAsia="zh-CN"/>
        </w:rPr>
      </w:pPr>
    </w:p>
    <w:p>
      <w:pPr>
        <w:bidi w:val="0"/>
        <w:spacing w:line="360" w:lineRule="auto"/>
        <w:jc w:val="center"/>
        <w:rPr>
          <w:rFonts w:hint="default"/>
          <w:b/>
          <w:bCs/>
          <w:sz w:val="44"/>
          <w:szCs w:val="44"/>
          <w:lang w:val="en-US" w:eastAsia="zh-CN"/>
        </w:rPr>
      </w:pPr>
    </w:p>
    <w:p>
      <w:pPr>
        <w:bidi w:val="0"/>
        <w:spacing w:line="360" w:lineRule="auto"/>
        <w:jc w:val="center"/>
        <w:rPr>
          <w:rFonts w:hint="eastAsia"/>
          <w:b/>
          <w:bCs/>
          <w:sz w:val="44"/>
          <w:szCs w:val="44"/>
          <w:lang w:val="en-US" w:eastAsia="zh-CN"/>
        </w:rPr>
      </w:pPr>
      <w:r>
        <w:rPr>
          <w:rFonts w:hint="eastAsia"/>
          <w:b/>
          <w:bCs/>
          <w:sz w:val="44"/>
          <w:szCs w:val="44"/>
          <w:lang w:val="en-US" w:eastAsia="zh-CN"/>
        </w:rPr>
        <w:t>押品询值服务系统用户操作说明书</w:t>
      </w:r>
    </w:p>
    <w:p>
      <w:pPr>
        <w:bidi w:val="0"/>
        <w:spacing w:line="360" w:lineRule="auto"/>
        <w:jc w:val="center"/>
        <w:rPr>
          <w:rFonts w:hint="eastAsia"/>
          <w:b/>
          <w:bCs/>
          <w:sz w:val="44"/>
          <w:szCs w:val="44"/>
          <w:lang w:val="en-US" w:eastAsia="zh-CN"/>
        </w:rPr>
      </w:pPr>
    </w:p>
    <w:p>
      <w:pPr>
        <w:bidi w:val="0"/>
        <w:spacing w:line="360" w:lineRule="auto"/>
        <w:jc w:val="center"/>
        <w:rPr>
          <w:rFonts w:hint="eastAsia"/>
          <w:b/>
          <w:bCs/>
          <w:sz w:val="44"/>
          <w:szCs w:val="44"/>
          <w:lang w:val="en-US" w:eastAsia="zh-CN"/>
        </w:rPr>
      </w:pPr>
    </w:p>
    <w:p>
      <w:pPr>
        <w:bidi w:val="0"/>
        <w:spacing w:line="360" w:lineRule="auto"/>
        <w:jc w:val="center"/>
        <w:rPr>
          <w:rFonts w:hint="eastAsia"/>
          <w:b/>
          <w:bCs/>
          <w:sz w:val="44"/>
          <w:szCs w:val="44"/>
          <w:lang w:val="en-US" w:eastAsia="zh-CN"/>
        </w:rPr>
      </w:pPr>
    </w:p>
    <w:p>
      <w:pPr>
        <w:bidi w:val="0"/>
        <w:spacing w:line="360" w:lineRule="auto"/>
        <w:jc w:val="center"/>
        <w:rPr>
          <w:rFonts w:hint="eastAsia"/>
          <w:b/>
          <w:bCs/>
          <w:sz w:val="44"/>
          <w:szCs w:val="44"/>
          <w:lang w:val="en-US" w:eastAsia="zh-CN"/>
        </w:rPr>
      </w:pPr>
    </w:p>
    <w:p>
      <w:pPr>
        <w:tabs>
          <w:tab w:val="left" w:pos="5256"/>
        </w:tabs>
        <w:bidi w:val="0"/>
        <w:spacing w:line="360" w:lineRule="auto"/>
        <w:jc w:val="left"/>
        <w:rPr>
          <w:rFonts w:hint="eastAsia"/>
          <w:b/>
          <w:bCs/>
          <w:sz w:val="44"/>
          <w:szCs w:val="44"/>
          <w:lang w:val="en-US" w:eastAsia="zh-CN"/>
        </w:rPr>
      </w:pPr>
      <w:r>
        <w:rPr>
          <w:rFonts w:hint="eastAsia"/>
          <w:b/>
          <w:bCs/>
          <w:sz w:val="44"/>
          <w:szCs w:val="44"/>
          <w:lang w:val="en-US" w:eastAsia="zh-CN"/>
        </w:rPr>
        <w:tab/>
      </w:r>
    </w:p>
    <w:p>
      <w:pPr>
        <w:tabs>
          <w:tab w:val="left" w:pos="5256"/>
        </w:tabs>
        <w:bidi w:val="0"/>
        <w:spacing w:line="360" w:lineRule="auto"/>
        <w:jc w:val="left"/>
        <w:rPr>
          <w:rFonts w:hint="eastAsia"/>
          <w:b/>
          <w:bCs/>
          <w:sz w:val="44"/>
          <w:szCs w:val="44"/>
          <w:lang w:val="en-US" w:eastAsia="zh-CN"/>
        </w:rPr>
      </w:pPr>
    </w:p>
    <w:p>
      <w:pPr>
        <w:bidi w:val="0"/>
        <w:spacing w:line="360" w:lineRule="auto"/>
        <w:jc w:val="center"/>
        <w:rPr>
          <w:rFonts w:hint="eastAsia"/>
          <w:b/>
          <w:bCs/>
          <w:sz w:val="44"/>
          <w:szCs w:val="44"/>
          <w:lang w:val="en-US" w:eastAsia="zh-CN"/>
        </w:rPr>
      </w:pPr>
    </w:p>
    <w:p>
      <w:pPr>
        <w:bidi w:val="0"/>
        <w:spacing w:line="360" w:lineRule="auto"/>
        <w:rPr>
          <w:rFonts w:hint="eastAsia"/>
          <w:lang w:val="en-US" w:eastAsia="zh-CN"/>
        </w:rPr>
      </w:pPr>
    </w:p>
    <w:p>
      <w:pPr>
        <w:spacing w:line="360" w:lineRule="auto"/>
        <w:jc w:val="center"/>
        <w:rPr>
          <w:sz w:val="44"/>
          <w:szCs w:val="44"/>
        </w:rPr>
      </w:pPr>
    </w:p>
    <w:p>
      <w:pPr>
        <w:spacing w:line="360" w:lineRule="auto"/>
        <w:ind w:firstLine="1800" w:firstLineChars="600"/>
        <w:jc w:val="both"/>
        <w:rPr>
          <w:sz w:val="30"/>
          <w:szCs w:val="30"/>
        </w:rPr>
      </w:pPr>
      <w:r>
        <w:rPr>
          <w:rFonts w:hint="eastAsia"/>
          <w:sz w:val="30"/>
          <w:szCs w:val="30"/>
        </w:rPr>
        <w:t>厦门云评众联科技有限公司</w:t>
      </w:r>
    </w:p>
    <w:p>
      <w:pPr>
        <w:tabs>
          <w:tab w:val="left" w:pos="7011"/>
        </w:tabs>
        <w:spacing w:line="360" w:lineRule="auto"/>
        <w:ind w:firstLine="2100" w:firstLineChars="700"/>
        <w:jc w:val="both"/>
        <w:rPr>
          <w:rFonts w:hint="eastAsia"/>
          <w:sz w:val="30"/>
          <w:szCs w:val="30"/>
          <w:lang w:val="en-US" w:eastAsia="zh-CN"/>
        </w:rPr>
      </w:pPr>
      <w:r>
        <w:rPr>
          <w:rFonts w:hint="eastAsia"/>
          <w:sz w:val="30"/>
          <w:szCs w:val="30"/>
        </w:rPr>
        <w:t>编写日期：2</w:t>
      </w:r>
      <w:r>
        <w:rPr>
          <w:sz w:val="30"/>
          <w:szCs w:val="30"/>
        </w:rPr>
        <w:t>020.0</w:t>
      </w:r>
      <w:r>
        <w:rPr>
          <w:rFonts w:hint="eastAsia"/>
          <w:sz w:val="30"/>
          <w:szCs w:val="30"/>
          <w:lang w:val="en-US" w:eastAsia="zh-CN"/>
        </w:rPr>
        <w:t>8.31</w:t>
      </w:r>
      <w:r>
        <w:rPr>
          <w:rFonts w:hint="eastAsia"/>
          <w:sz w:val="30"/>
          <w:szCs w:val="30"/>
          <w:lang w:val="en-US" w:eastAsia="zh-CN"/>
        </w:rPr>
        <w:tab/>
      </w:r>
    </w:p>
    <w:p>
      <w:pPr>
        <w:tabs>
          <w:tab w:val="left" w:pos="7011"/>
        </w:tabs>
        <w:spacing w:line="360" w:lineRule="auto"/>
        <w:ind w:firstLine="2100" w:firstLineChars="700"/>
        <w:jc w:val="both"/>
        <w:rPr>
          <w:rFonts w:hint="eastAsia"/>
          <w:sz w:val="30"/>
          <w:szCs w:val="30"/>
          <w:lang w:val="en-US" w:eastAsia="zh-CN"/>
        </w:rPr>
      </w:pPr>
    </w:p>
    <w:p>
      <w:pPr>
        <w:tabs>
          <w:tab w:val="left" w:pos="7011"/>
        </w:tabs>
        <w:spacing w:line="360" w:lineRule="auto"/>
        <w:jc w:val="both"/>
        <w:rPr>
          <w:rFonts w:hint="eastAsia"/>
          <w:sz w:val="30"/>
          <w:szCs w:val="30"/>
          <w:lang w:val="en-US" w:eastAsia="zh-CN"/>
        </w:rPr>
        <w:sectPr>
          <w:pgSz w:w="11906" w:h="16838"/>
          <w:pgMar w:top="1440" w:right="1800" w:bottom="1440" w:left="1800" w:header="851" w:footer="992" w:gutter="0"/>
          <w:cols w:space="425" w:num="1"/>
          <w:docGrid w:type="lines" w:linePitch="312" w:charSpace="0"/>
        </w:sectPr>
      </w:pPr>
      <w:bookmarkStart w:id="31" w:name="_GoBack"/>
      <w:bookmarkEnd w:id="31"/>
    </w:p>
    <w:sdt>
      <w:sdtPr>
        <w:rPr>
          <w:rFonts w:ascii="宋体" w:hAnsi="宋体" w:eastAsia="宋体" w:cstheme="minorBidi"/>
          <w:kern w:val="2"/>
          <w:sz w:val="48"/>
          <w:szCs w:val="48"/>
          <w:lang w:val="en-US" w:eastAsia="zh-CN" w:bidi="ar-SA"/>
        </w:rPr>
        <w:id w:val="147482303"/>
        <w15:color w:val="DBDBDB"/>
        <w:docPartObj>
          <w:docPartGallery w:val="Table of Contents"/>
          <w:docPartUnique/>
        </w:docPartObj>
      </w:sdtPr>
      <w:sdtEndPr>
        <w:rPr>
          <w:rFonts w:hint="eastAsia" w:asciiTheme="minorAscii" w:hAnsiTheme="minorAscii" w:eastAsiaTheme="minorEastAsia" w:cstheme="minorBidi"/>
          <w:kern w:val="2"/>
          <w:sz w:val="21"/>
          <w:szCs w:val="30"/>
          <w:lang w:val="en-US" w:eastAsia="zh-CN" w:bidi="ar-SA"/>
        </w:rPr>
      </w:sdtEndPr>
      <w:sdtContent>
        <w:p>
          <w:pPr>
            <w:spacing w:before="0" w:beforeLines="0" w:after="0" w:afterLines="0" w:line="240" w:lineRule="auto"/>
            <w:ind w:left="0" w:leftChars="0" w:right="0" w:rightChars="0" w:firstLine="0" w:firstLineChars="0"/>
            <w:jc w:val="center"/>
            <w:rPr>
              <w:sz w:val="48"/>
              <w:szCs w:val="48"/>
            </w:rPr>
          </w:pPr>
          <w:r>
            <w:rPr>
              <w:rFonts w:ascii="宋体" w:hAnsi="宋体" w:eastAsia="宋体"/>
              <w:sz w:val="48"/>
              <w:szCs w:val="48"/>
            </w:rPr>
            <w:t>目录</w:t>
          </w:r>
        </w:p>
        <w:p>
          <w:pPr>
            <w:pStyle w:val="10"/>
            <w:tabs>
              <w:tab w:val="right" w:leader="dot" w:pos="8306"/>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TOC \o "1-3" \h \u </w:instrText>
          </w:r>
          <w:r>
            <w:rPr>
              <w:rFonts w:hint="eastAsia" w:ascii="宋体" w:hAnsi="宋体" w:eastAsia="宋体" w:cs="宋体"/>
              <w:sz w:val="28"/>
              <w:szCs w:val="28"/>
              <w:lang w:val="en-US" w:eastAsia="zh-CN"/>
            </w:rPr>
            <w:fldChar w:fldCharType="separate"/>
          </w: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_Toc27673 </w:instrText>
          </w:r>
          <w:r>
            <w:rPr>
              <w:rFonts w:hint="eastAsia" w:ascii="宋体" w:hAnsi="宋体" w:eastAsia="宋体" w:cs="宋体"/>
              <w:sz w:val="28"/>
              <w:szCs w:val="28"/>
              <w:lang w:val="en-US" w:eastAsia="zh-CN"/>
            </w:rPr>
            <w:fldChar w:fldCharType="separate"/>
          </w:r>
          <w:r>
            <w:rPr>
              <w:rFonts w:hint="eastAsia" w:ascii="宋体" w:hAnsi="宋体" w:eastAsia="宋体" w:cs="宋体"/>
              <w:sz w:val="28"/>
              <w:szCs w:val="28"/>
              <w:lang w:val="en-US" w:eastAsia="zh-CN"/>
            </w:rPr>
            <w:t>1.</w:t>
          </w:r>
          <w:r>
            <w:rPr>
              <w:rFonts w:hint="eastAsia" w:ascii="宋体" w:hAnsi="宋体" w:eastAsia="宋体" w:cs="宋体"/>
              <w:sz w:val="28"/>
              <w:szCs w:val="28"/>
            </w:rPr>
            <w:t>登录和注册</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_Toc27673 </w:instrText>
          </w:r>
          <w:r>
            <w:rPr>
              <w:rFonts w:hint="eastAsia" w:ascii="宋体" w:hAnsi="宋体" w:eastAsia="宋体" w:cs="宋体"/>
              <w:sz w:val="28"/>
              <w:szCs w:val="28"/>
            </w:rPr>
            <w:fldChar w:fldCharType="separate"/>
          </w:r>
          <w:r>
            <w:rPr>
              <w:rFonts w:hint="eastAsia" w:ascii="宋体" w:hAnsi="宋体" w:eastAsia="宋体" w:cs="宋体"/>
              <w:sz w:val="28"/>
              <w:szCs w:val="28"/>
            </w:rPr>
            <w:t>2</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11"/>
            <w:tabs>
              <w:tab w:val="right" w:leader="dot" w:pos="8306"/>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_Toc8516 </w:instrText>
          </w:r>
          <w:r>
            <w:rPr>
              <w:rFonts w:hint="eastAsia" w:ascii="宋体" w:hAnsi="宋体" w:eastAsia="宋体" w:cs="宋体"/>
              <w:sz w:val="28"/>
              <w:szCs w:val="28"/>
              <w:lang w:val="en-US" w:eastAsia="zh-CN"/>
            </w:rPr>
            <w:fldChar w:fldCharType="separate"/>
          </w:r>
          <w:r>
            <w:rPr>
              <w:rFonts w:hint="eastAsia" w:ascii="宋体" w:hAnsi="宋体" w:eastAsia="宋体" w:cs="宋体"/>
              <w:sz w:val="28"/>
              <w:szCs w:val="28"/>
              <w:lang w:val="en-US" w:eastAsia="zh-CN"/>
            </w:rPr>
            <w:t>1.1</w:t>
          </w:r>
          <w:r>
            <w:rPr>
              <w:rFonts w:hint="eastAsia" w:ascii="宋体" w:hAnsi="宋体" w:eastAsia="宋体" w:cs="宋体"/>
              <w:sz w:val="28"/>
              <w:szCs w:val="28"/>
            </w:rPr>
            <w:t>注册</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_Toc8516 </w:instrText>
          </w:r>
          <w:r>
            <w:rPr>
              <w:rFonts w:hint="eastAsia" w:ascii="宋体" w:hAnsi="宋体" w:eastAsia="宋体" w:cs="宋体"/>
              <w:sz w:val="28"/>
              <w:szCs w:val="28"/>
            </w:rPr>
            <w:fldChar w:fldCharType="separate"/>
          </w:r>
          <w:r>
            <w:rPr>
              <w:rFonts w:hint="eastAsia" w:ascii="宋体" w:hAnsi="宋体" w:eastAsia="宋体" w:cs="宋体"/>
              <w:sz w:val="28"/>
              <w:szCs w:val="28"/>
            </w:rPr>
            <w:t>2</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11"/>
            <w:tabs>
              <w:tab w:val="right" w:leader="dot" w:pos="8306"/>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_Toc16946 </w:instrText>
          </w:r>
          <w:r>
            <w:rPr>
              <w:rFonts w:hint="eastAsia" w:ascii="宋体" w:hAnsi="宋体" w:eastAsia="宋体" w:cs="宋体"/>
              <w:sz w:val="28"/>
              <w:szCs w:val="28"/>
              <w:lang w:val="en-US" w:eastAsia="zh-CN"/>
            </w:rPr>
            <w:fldChar w:fldCharType="separate"/>
          </w:r>
          <w:r>
            <w:rPr>
              <w:rFonts w:hint="eastAsia" w:ascii="宋体" w:hAnsi="宋体" w:eastAsia="宋体" w:cs="宋体"/>
              <w:sz w:val="28"/>
              <w:szCs w:val="28"/>
              <w:lang w:val="en-US" w:eastAsia="zh-CN"/>
            </w:rPr>
            <w:t>1.2</w:t>
          </w:r>
          <w:r>
            <w:rPr>
              <w:rFonts w:hint="eastAsia" w:ascii="宋体" w:hAnsi="宋体" w:eastAsia="宋体" w:cs="宋体"/>
              <w:sz w:val="28"/>
              <w:szCs w:val="28"/>
            </w:rPr>
            <w:t>登录</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_Toc16946 </w:instrText>
          </w:r>
          <w:r>
            <w:rPr>
              <w:rFonts w:hint="eastAsia" w:ascii="宋体" w:hAnsi="宋体" w:eastAsia="宋体" w:cs="宋体"/>
              <w:sz w:val="28"/>
              <w:szCs w:val="28"/>
            </w:rPr>
            <w:fldChar w:fldCharType="separate"/>
          </w:r>
          <w:r>
            <w:rPr>
              <w:rFonts w:hint="eastAsia" w:ascii="宋体" w:hAnsi="宋体" w:eastAsia="宋体" w:cs="宋体"/>
              <w:sz w:val="28"/>
              <w:szCs w:val="28"/>
            </w:rPr>
            <w:t>2</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10"/>
            <w:tabs>
              <w:tab w:val="right" w:leader="dot" w:pos="8306"/>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_Toc10699 </w:instrText>
          </w:r>
          <w:r>
            <w:rPr>
              <w:rFonts w:hint="eastAsia" w:ascii="宋体" w:hAnsi="宋体" w:eastAsia="宋体" w:cs="宋体"/>
              <w:sz w:val="28"/>
              <w:szCs w:val="28"/>
              <w:lang w:val="en-US" w:eastAsia="zh-CN"/>
            </w:rPr>
            <w:fldChar w:fldCharType="separate"/>
          </w:r>
          <w:r>
            <w:rPr>
              <w:rFonts w:hint="eastAsia" w:ascii="宋体" w:hAnsi="宋体" w:eastAsia="宋体" w:cs="宋体"/>
              <w:sz w:val="28"/>
              <w:szCs w:val="28"/>
              <w:lang w:eastAsia="zh-CN"/>
            </w:rPr>
            <w:t>2. 首页</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_Toc10699 </w:instrText>
          </w:r>
          <w:r>
            <w:rPr>
              <w:rFonts w:hint="eastAsia" w:ascii="宋体" w:hAnsi="宋体" w:eastAsia="宋体" w:cs="宋体"/>
              <w:sz w:val="28"/>
              <w:szCs w:val="28"/>
            </w:rPr>
            <w:fldChar w:fldCharType="separate"/>
          </w:r>
          <w:r>
            <w:rPr>
              <w:rFonts w:hint="eastAsia" w:ascii="宋体" w:hAnsi="宋体" w:eastAsia="宋体" w:cs="宋体"/>
              <w:sz w:val="28"/>
              <w:szCs w:val="28"/>
            </w:rPr>
            <w:t>3</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10"/>
            <w:tabs>
              <w:tab w:val="right" w:leader="dot" w:pos="8306"/>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_Toc12488 </w:instrText>
          </w:r>
          <w:r>
            <w:rPr>
              <w:rFonts w:hint="eastAsia" w:ascii="宋体" w:hAnsi="宋体" w:eastAsia="宋体" w:cs="宋体"/>
              <w:sz w:val="28"/>
              <w:szCs w:val="28"/>
              <w:lang w:val="en-US" w:eastAsia="zh-CN"/>
            </w:rPr>
            <w:fldChar w:fldCharType="separate"/>
          </w:r>
          <w:r>
            <w:rPr>
              <w:rFonts w:hint="eastAsia" w:ascii="宋体" w:hAnsi="宋体" w:eastAsia="宋体" w:cs="宋体"/>
              <w:sz w:val="28"/>
              <w:szCs w:val="28"/>
              <w:lang w:val="en-US" w:eastAsia="zh-CN"/>
            </w:rPr>
            <w:t>3. 贷前调查</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_Toc12488 </w:instrText>
          </w:r>
          <w:r>
            <w:rPr>
              <w:rFonts w:hint="eastAsia" w:ascii="宋体" w:hAnsi="宋体" w:eastAsia="宋体" w:cs="宋体"/>
              <w:sz w:val="28"/>
              <w:szCs w:val="28"/>
            </w:rPr>
            <w:fldChar w:fldCharType="separate"/>
          </w:r>
          <w:r>
            <w:rPr>
              <w:rFonts w:hint="eastAsia" w:ascii="宋体" w:hAnsi="宋体" w:eastAsia="宋体" w:cs="宋体"/>
              <w:sz w:val="28"/>
              <w:szCs w:val="28"/>
            </w:rPr>
            <w:t>4</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11"/>
            <w:tabs>
              <w:tab w:val="right" w:leader="dot" w:pos="8306"/>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_Toc19365 </w:instrText>
          </w:r>
          <w:r>
            <w:rPr>
              <w:rFonts w:hint="eastAsia" w:ascii="宋体" w:hAnsi="宋体" w:eastAsia="宋体" w:cs="宋体"/>
              <w:sz w:val="28"/>
              <w:szCs w:val="28"/>
              <w:lang w:val="en-US" w:eastAsia="zh-CN"/>
            </w:rPr>
            <w:fldChar w:fldCharType="separate"/>
          </w:r>
          <w:r>
            <w:rPr>
              <w:rFonts w:hint="eastAsia" w:ascii="宋体" w:hAnsi="宋体" w:eastAsia="宋体" w:cs="宋体"/>
              <w:sz w:val="28"/>
              <w:szCs w:val="28"/>
              <w:lang w:val="en-US" w:eastAsia="zh-CN"/>
            </w:rPr>
            <w:t>3.1自动估价</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_Toc19365 </w:instrText>
          </w:r>
          <w:r>
            <w:rPr>
              <w:rFonts w:hint="eastAsia" w:ascii="宋体" w:hAnsi="宋体" w:eastAsia="宋体" w:cs="宋体"/>
              <w:sz w:val="28"/>
              <w:szCs w:val="28"/>
            </w:rPr>
            <w:fldChar w:fldCharType="separate"/>
          </w:r>
          <w:r>
            <w:rPr>
              <w:rFonts w:hint="eastAsia" w:ascii="宋体" w:hAnsi="宋体" w:eastAsia="宋体" w:cs="宋体"/>
              <w:sz w:val="28"/>
              <w:szCs w:val="28"/>
            </w:rPr>
            <w:t>4</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11"/>
            <w:tabs>
              <w:tab w:val="right" w:leader="dot" w:pos="8306"/>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_Toc28668 </w:instrText>
          </w:r>
          <w:r>
            <w:rPr>
              <w:rFonts w:hint="eastAsia" w:ascii="宋体" w:hAnsi="宋体" w:eastAsia="宋体" w:cs="宋体"/>
              <w:sz w:val="28"/>
              <w:szCs w:val="28"/>
              <w:lang w:val="en-US" w:eastAsia="zh-CN"/>
            </w:rPr>
            <w:fldChar w:fldCharType="separate"/>
          </w:r>
          <w:r>
            <w:rPr>
              <w:rFonts w:hint="eastAsia" w:ascii="宋体" w:hAnsi="宋体" w:eastAsia="宋体" w:cs="宋体"/>
              <w:sz w:val="28"/>
              <w:szCs w:val="28"/>
              <w:lang w:val="en-US" w:eastAsia="zh-CN"/>
            </w:rPr>
            <w:t>3.2人工估价</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_Toc28668 </w:instrText>
          </w:r>
          <w:r>
            <w:rPr>
              <w:rFonts w:hint="eastAsia" w:ascii="宋体" w:hAnsi="宋体" w:eastAsia="宋体" w:cs="宋体"/>
              <w:sz w:val="28"/>
              <w:szCs w:val="28"/>
            </w:rPr>
            <w:fldChar w:fldCharType="separate"/>
          </w:r>
          <w:r>
            <w:rPr>
              <w:rFonts w:hint="eastAsia" w:ascii="宋体" w:hAnsi="宋体" w:eastAsia="宋体" w:cs="宋体"/>
              <w:sz w:val="28"/>
              <w:szCs w:val="28"/>
            </w:rPr>
            <w:t>5</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11"/>
            <w:tabs>
              <w:tab w:val="right" w:leader="dot" w:pos="8306"/>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_Toc22240 </w:instrText>
          </w:r>
          <w:r>
            <w:rPr>
              <w:rFonts w:hint="eastAsia" w:ascii="宋体" w:hAnsi="宋体" w:eastAsia="宋体" w:cs="宋体"/>
              <w:sz w:val="28"/>
              <w:szCs w:val="28"/>
              <w:lang w:val="en-US" w:eastAsia="zh-CN"/>
            </w:rPr>
            <w:fldChar w:fldCharType="separate"/>
          </w:r>
          <w:r>
            <w:rPr>
              <w:rFonts w:hint="eastAsia" w:ascii="宋体" w:hAnsi="宋体" w:eastAsia="宋体" w:cs="宋体"/>
              <w:sz w:val="28"/>
              <w:szCs w:val="28"/>
              <w:lang w:val="en-US" w:eastAsia="zh-CN"/>
            </w:rPr>
            <w:t>3.3询价记录</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_Toc22240 </w:instrText>
          </w:r>
          <w:r>
            <w:rPr>
              <w:rFonts w:hint="eastAsia" w:ascii="宋体" w:hAnsi="宋体" w:eastAsia="宋体" w:cs="宋体"/>
              <w:sz w:val="28"/>
              <w:szCs w:val="28"/>
            </w:rPr>
            <w:fldChar w:fldCharType="separate"/>
          </w:r>
          <w:r>
            <w:rPr>
              <w:rFonts w:hint="eastAsia" w:ascii="宋体" w:hAnsi="宋体" w:eastAsia="宋体" w:cs="宋体"/>
              <w:sz w:val="28"/>
              <w:szCs w:val="28"/>
            </w:rPr>
            <w:t>5</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11"/>
            <w:tabs>
              <w:tab w:val="right" w:leader="dot" w:pos="8306"/>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_Toc20072 </w:instrText>
          </w:r>
          <w:r>
            <w:rPr>
              <w:rFonts w:hint="eastAsia" w:ascii="宋体" w:hAnsi="宋体" w:eastAsia="宋体" w:cs="宋体"/>
              <w:sz w:val="28"/>
              <w:szCs w:val="28"/>
              <w:lang w:val="en-US" w:eastAsia="zh-CN"/>
            </w:rPr>
            <w:fldChar w:fldCharType="separate"/>
          </w:r>
          <w:r>
            <w:rPr>
              <w:rFonts w:hint="eastAsia" w:ascii="宋体" w:hAnsi="宋体" w:eastAsia="宋体" w:cs="宋体"/>
              <w:sz w:val="28"/>
              <w:szCs w:val="28"/>
              <w:lang w:val="en-US" w:eastAsia="zh-CN"/>
            </w:rPr>
            <w:t>3.4评估委托</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_Toc20072 </w:instrText>
          </w:r>
          <w:r>
            <w:rPr>
              <w:rFonts w:hint="eastAsia" w:ascii="宋体" w:hAnsi="宋体" w:eastAsia="宋体" w:cs="宋体"/>
              <w:sz w:val="28"/>
              <w:szCs w:val="28"/>
            </w:rPr>
            <w:fldChar w:fldCharType="separate"/>
          </w:r>
          <w:r>
            <w:rPr>
              <w:rFonts w:hint="eastAsia" w:ascii="宋体" w:hAnsi="宋体" w:eastAsia="宋体" w:cs="宋体"/>
              <w:sz w:val="28"/>
              <w:szCs w:val="28"/>
            </w:rPr>
            <w:t>6</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11"/>
            <w:tabs>
              <w:tab w:val="right" w:leader="dot" w:pos="8306"/>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_Toc11107 </w:instrText>
          </w:r>
          <w:r>
            <w:rPr>
              <w:rFonts w:hint="eastAsia" w:ascii="宋体" w:hAnsi="宋体" w:eastAsia="宋体" w:cs="宋体"/>
              <w:sz w:val="28"/>
              <w:szCs w:val="28"/>
              <w:lang w:val="en-US" w:eastAsia="zh-CN"/>
            </w:rPr>
            <w:fldChar w:fldCharType="separate"/>
          </w:r>
          <w:r>
            <w:rPr>
              <w:rFonts w:hint="eastAsia" w:ascii="宋体" w:hAnsi="宋体" w:eastAsia="宋体" w:cs="宋体"/>
              <w:sz w:val="28"/>
              <w:szCs w:val="28"/>
              <w:lang w:val="en-US" w:eastAsia="zh-CN"/>
            </w:rPr>
            <w:t>3.5委托管理</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_Toc11107 </w:instrText>
          </w:r>
          <w:r>
            <w:rPr>
              <w:rFonts w:hint="eastAsia" w:ascii="宋体" w:hAnsi="宋体" w:eastAsia="宋体" w:cs="宋体"/>
              <w:sz w:val="28"/>
              <w:szCs w:val="28"/>
            </w:rPr>
            <w:fldChar w:fldCharType="separate"/>
          </w:r>
          <w:r>
            <w:rPr>
              <w:rFonts w:hint="eastAsia" w:ascii="宋体" w:hAnsi="宋体" w:eastAsia="宋体" w:cs="宋体"/>
              <w:sz w:val="28"/>
              <w:szCs w:val="28"/>
            </w:rPr>
            <w:t>7</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10"/>
            <w:tabs>
              <w:tab w:val="right" w:leader="dot" w:pos="8306"/>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_Toc12586 </w:instrText>
          </w:r>
          <w:r>
            <w:rPr>
              <w:rFonts w:hint="eastAsia" w:ascii="宋体" w:hAnsi="宋体" w:eastAsia="宋体" w:cs="宋体"/>
              <w:sz w:val="28"/>
              <w:szCs w:val="28"/>
              <w:lang w:val="en-US" w:eastAsia="zh-CN"/>
            </w:rPr>
            <w:fldChar w:fldCharType="separate"/>
          </w:r>
          <w:r>
            <w:rPr>
              <w:rFonts w:hint="eastAsia" w:ascii="宋体" w:hAnsi="宋体" w:eastAsia="宋体" w:cs="宋体"/>
              <w:sz w:val="28"/>
              <w:szCs w:val="28"/>
              <w:lang w:val="en-US" w:eastAsia="zh-CN"/>
            </w:rPr>
            <w:t>4.决策审批</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_Toc12586 </w:instrText>
          </w:r>
          <w:r>
            <w:rPr>
              <w:rFonts w:hint="eastAsia" w:ascii="宋体" w:hAnsi="宋体" w:eastAsia="宋体" w:cs="宋体"/>
              <w:sz w:val="28"/>
              <w:szCs w:val="28"/>
            </w:rPr>
            <w:fldChar w:fldCharType="separate"/>
          </w:r>
          <w:r>
            <w:rPr>
              <w:rFonts w:hint="eastAsia" w:ascii="宋体" w:hAnsi="宋体" w:eastAsia="宋体" w:cs="宋体"/>
              <w:sz w:val="28"/>
              <w:szCs w:val="28"/>
            </w:rPr>
            <w:t>9</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11"/>
            <w:tabs>
              <w:tab w:val="right" w:leader="dot" w:pos="8306"/>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_Toc21345 </w:instrText>
          </w:r>
          <w:r>
            <w:rPr>
              <w:rFonts w:hint="eastAsia" w:ascii="宋体" w:hAnsi="宋体" w:eastAsia="宋体" w:cs="宋体"/>
              <w:sz w:val="28"/>
              <w:szCs w:val="28"/>
              <w:lang w:val="en-US" w:eastAsia="zh-CN"/>
            </w:rPr>
            <w:fldChar w:fldCharType="separate"/>
          </w:r>
          <w:r>
            <w:rPr>
              <w:rFonts w:hint="eastAsia" w:ascii="宋体" w:hAnsi="宋体" w:eastAsia="宋体" w:cs="宋体"/>
              <w:sz w:val="28"/>
              <w:szCs w:val="28"/>
              <w:lang w:val="en-US" w:eastAsia="zh-CN"/>
            </w:rPr>
            <w:t>4.1押品管理</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_Toc21345 </w:instrText>
          </w:r>
          <w:r>
            <w:rPr>
              <w:rFonts w:hint="eastAsia" w:ascii="宋体" w:hAnsi="宋体" w:eastAsia="宋体" w:cs="宋体"/>
              <w:sz w:val="28"/>
              <w:szCs w:val="28"/>
            </w:rPr>
            <w:fldChar w:fldCharType="separate"/>
          </w:r>
          <w:r>
            <w:rPr>
              <w:rFonts w:hint="eastAsia" w:ascii="宋体" w:hAnsi="宋体" w:eastAsia="宋体" w:cs="宋体"/>
              <w:sz w:val="28"/>
              <w:szCs w:val="28"/>
            </w:rPr>
            <w:t>9</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12"/>
            <w:tabs>
              <w:tab w:val="right" w:leader="dot" w:pos="8306"/>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_Toc29961 </w:instrText>
          </w:r>
          <w:r>
            <w:rPr>
              <w:rFonts w:hint="eastAsia" w:ascii="宋体" w:hAnsi="宋体" w:eastAsia="宋体" w:cs="宋体"/>
              <w:sz w:val="28"/>
              <w:szCs w:val="28"/>
              <w:lang w:val="en-US" w:eastAsia="zh-CN"/>
            </w:rPr>
            <w:fldChar w:fldCharType="separate"/>
          </w:r>
          <w:r>
            <w:rPr>
              <w:rFonts w:hint="eastAsia" w:ascii="宋体" w:hAnsi="宋体" w:eastAsia="宋体" w:cs="宋体"/>
              <w:sz w:val="28"/>
              <w:szCs w:val="28"/>
              <w:lang w:val="en-US" w:eastAsia="zh-CN"/>
            </w:rPr>
            <w:t>4.1.1新增押品</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_Toc29961 </w:instrText>
          </w:r>
          <w:r>
            <w:rPr>
              <w:rFonts w:hint="eastAsia" w:ascii="宋体" w:hAnsi="宋体" w:eastAsia="宋体" w:cs="宋体"/>
              <w:sz w:val="28"/>
              <w:szCs w:val="28"/>
            </w:rPr>
            <w:fldChar w:fldCharType="separate"/>
          </w:r>
          <w:r>
            <w:rPr>
              <w:rFonts w:hint="eastAsia" w:ascii="宋体" w:hAnsi="宋体" w:eastAsia="宋体" w:cs="宋体"/>
              <w:sz w:val="28"/>
              <w:szCs w:val="28"/>
            </w:rPr>
            <w:t>9</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12"/>
            <w:tabs>
              <w:tab w:val="right" w:leader="dot" w:pos="8306"/>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_Toc20060 </w:instrText>
          </w:r>
          <w:r>
            <w:rPr>
              <w:rFonts w:hint="eastAsia" w:ascii="宋体" w:hAnsi="宋体" w:eastAsia="宋体" w:cs="宋体"/>
              <w:sz w:val="28"/>
              <w:szCs w:val="28"/>
              <w:lang w:val="en-US" w:eastAsia="zh-CN"/>
            </w:rPr>
            <w:fldChar w:fldCharType="separate"/>
          </w:r>
          <w:r>
            <w:rPr>
              <w:rFonts w:hint="eastAsia" w:ascii="宋体" w:hAnsi="宋体" w:eastAsia="宋体" w:cs="宋体"/>
              <w:sz w:val="28"/>
              <w:szCs w:val="28"/>
              <w:lang w:val="en-US" w:eastAsia="zh-CN"/>
            </w:rPr>
            <w:t>4.1.2批量导入押品</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_Toc20060 </w:instrText>
          </w:r>
          <w:r>
            <w:rPr>
              <w:rFonts w:hint="eastAsia" w:ascii="宋体" w:hAnsi="宋体" w:eastAsia="宋体" w:cs="宋体"/>
              <w:sz w:val="28"/>
              <w:szCs w:val="28"/>
            </w:rPr>
            <w:fldChar w:fldCharType="separate"/>
          </w:r>
          <w:r>
            <w:rPr>
              <w:rFonts w:hint="eastAsia" w:ascii="宋体" w:hAnsi="宋体" w:eastAsia="宋体" w:cs="宋体"/>
              <w:sz w:val="28"/>
              <w:szCs w:val="28"/>
            </w:rPr>
            <w:t>10</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12"/>
            <w:tabs>
              <w:tab w:val="right" w:leader="dot" w:pos="8306"/>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_Toc16878 </w:instrText>
          </w:r>
          <w:r>
            <w:rPr>
              <w:rFonts w:hint="eastAsia" w:ascii="宋体" w:hAnsi="宋体" w:eastAsia="宋体" w:cs="宋体"/>
              <w:sz w:val="28"/>
              <w:szCs w:val="28"/>
              <w:lang w:val="en-US" w:eastAsia="zh-CN"/>
            </w:rPr>
            <w:fldChar w:fldCharType="separate"/>
          </w:r>
          <w:r>
            <w:rPr>
              <w:rFonts w:hint="eastAsia" w:ascii="宋体" w:hAnsi="宋体" w:eastAsia="宋体" w:cs="宋体"/>
              <w:sz w:val="28"/>
              <w:szCs w:val="28"/>
              <w:lang w:val="en-US" w:eastAsia="zh-CN"/>
            </w:rPr>
            <w:t>4.1.3批量复估</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_Toc16878 </w:instrText>
          </w:r>
          <w:r>
            <w:rPr>
              <w:rFonts w:hint="eastAsia" w:ascii="宋体" w:hAnsi="宋体" w:eastAsia="宋体" w:cs="宋体"/>
              <w:sz w:val="28"/>
              <w:szCs w:val="28"/>
            </w:rPr>
            <w:fldChar w:fldCharType="separate"/>
          </w:r>
          <w:r>
            <w:rPr>
              <w:rFonts w:hint="eastAsia" w:ascii="宋体" w:hAnsi="宋体" w:eastAsia="宋体" w:cs="宋体"/>
              <w:sz w:val="28"/>
              <w:szCs w:val="28"/>
            </w:rPr>
            <w:t>10</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12"/>
            <w:tabs>
              <w:tab w:val="right" w:leader="dot" w:pos="8306"/>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_Toc31045 </w:instrText>
          </w:r>
          <w:r>
            <w:rPr>
              <w:rFonts w:hint="eastAsia" w:ascii="宋体" w:hAnsi="宋体" w:eastAsia="宋体" w:cs="宋体"/>
              <w:sz w:val="28"/>
              <w:szCs w:val="28"/>
              <w:lang w:val="en-US" w:eastAsia="zh-CN"/>
            </w:rPr>
            <w:fldChar w:fldCharType="separate"/>
          </w:r>
          <w:r>
            <w:rPr>
              <w:rFonts w:hint="eastAsia" w:ascii="宋体" w:hAnsi="宋体" w:eastAsia="宋体" w:cs="宋体"/>
              <w:sz w:val="28"/>
              <w:szCs w:val="28"/>
              <w:lang w:val="en-US" w:eastAsia="zh-CN"/>
            </w:rPr>
            <w:t>4.1.4机构复估</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_Toc31045 </w:instrText>
          </w:r>
          <w:r>
            <w:rPr>
              <w:rFonts w:hint="eastAsia" w:ascii="宋体" w:hAnsi="宋体" w:eastAsia="宋体" w:cs="宋体"/>
              <w:sz w:val="28"/>
              <w:szCs w:val="28"/>
            </w:rPr>
            <w:fldChar w:fldCharType="separate"/>
          </w:r>
          <w:r>
            <w:rPr>
              <w:rFonts w:hint="eastAsia" w:ascii="宋体" w:hAnsi="宋体" w:eastAsia="宋体" w:cs="宋体"/>
              <w:sz w:val="28"/>
              <w:szCs w:val="28"/>
            </w:rPr>
            <w:t>11</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11"/>
            <w:tabs>
              <w:tab w:val="right" w:leader="dot" w:pos="8306"/>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_Toc11023 </w:instrText>
          </w:r>
          <w:r>
            <w:rPr>
              <w:rFonts w:hint="eastAsia" w:ascii="宋体" w:hAnsi="宋体" w:eastAsia="宋体" w:cs="宋体"/>
              <w:sz w:val="28"/>
              <w:szCs w:val="28"/>
              <w:lang w:val="en-US" w:eastAsia="zh-CN"/>
            </w:rPr>
            <w:fldChar w:fldCharType="separate"/>
          </w:r>
          <w:r>
            <w:rPr>
              <w:rFonts w:hint="eastAsia" w:ascii="宋体" w:hAnsi="宋体" w:eastAsia="宋体" w:cs="宋体"/>
              <w:sz w:val="28"/>
              <w:szCs w:val="28"/>
              <w:lang w:val="en-US" w:eastAsia="zh-CN"/>
            </w:rPr>
            <w:t>4.2楼盘小区</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_Toc11023 </w:instrText>
          </w:r>
          <w:r>
            <w:rPr>
              <w:rFonts w:hint="eastAsia" w:ascii="宋体" w:hAnsi="宋体" w:eastAsia="宋体" w:cs="宋体"/>
              <w:sz w:val="28"/>
              <w:szCs w:val="28"/>
            </w:rPr>
            <w:fldChar w:fldCharType="separate"/>
          </w:r>
          <w:r>
            <w:rPr>
              <w:rFonts w:hint="eastAsia" w:ascii="宋体" w:hAnsi="宋体" w:eastAsia="宋体" w:cs="宋体"/>
              <w:sz w:val="28"/>
              <w:szCs w:val="28"/>
            </w:rPr>
            <w:t>11</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11"/>
            <w:tabs>
              <w:tab w:val="right" w:leader="dot" w:pos="8306"/>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_Toc9329 </w:instrText>
          </w:r>
          <w:r>
            <w:rPr>
              <w:rFonts w:hint="eastAsia" w:ascii="宋体" w:hAnsi="宋体" w:eastAsia="宋体" w:cs="宋体"/>
              <w:sz w:val="28"/>
              <w:szCs w:val="28"/>
              <w:lang w:val="en-US" w:eastAsia="zh-CN"/>
            </w:rPr>
            <w:fldChar w:fldCharType="separate"/>
          </w:r>
          <w:r>
            <w:rPr>
              <w:rFonts w:hint="eastAsia" w:ascii="宋体" w:hAnsi="宋体" w:eastAsia="宋体" w:cs="宋体"/>
              <w:sz w:val="28"/>
              <w:szCs w:val="28"/>
              <w:lang w:val="en-US" w:eastAsia="zh-CN"/>
            </w:rPr>
            <w:t>4.3成交案例</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_Toc9329 </w:instrText>
          </w:r>
          <w:r>
            <w:rPr>
              <w:rFonts w:hint="eastAsia" w:ascii="宋体" w:hAnsi="宋体" w:eastAsia="宋体" w:cs="宋体"/>
              <w:sz w:val="28"/>
              <w:szCs w:val="28"/>
            </w:rPr>
            <w:fldChar w:fldCharType="separate"/>
          </w:r>
          <w:r>
            <w:rPr>
              <w:rFonts w:hint="eastAsia" w:ascii="宋体" w:hAnsi="宋体" w:eastAsia="宋体" w:cs="宋体"/>
              <w:sz w:val="28"/>
              <w:szCs w:val="28"/>
            </w:rPr>
            <w:t>12</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10"/>
            <w:tabs>
              <w:tab w:val="right" w:leader="dot" w:pos="8306"/>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_Toc2425 </w:instrText>
          </w:r>
          <w:r>
            <w:rPr>
              <w:rFonts w:hint="eastAsia" w:ascii="宋体" w:hAnsi="宋体" w:eastAsia="宋体" w:cs="宋体"/>
              <w:sz w:val="28"/>
              <w:szCs w:val="28"/>
              <w:lang w:val="en-US" w:eastAsia="zh-CN"/>
            </w:rPr>
            <w:fldChar w:fldCharType="separate"/>
          </w:r>
          <w:r>
            <w:rPr>
              <w:rFonts w:hint="eastAsia" w:ascii="宋体" w:hAnsi="宋体" w:eastAsia="宋体" w:cs="宋体"/>
              <w:sz w:val="28"/>
              <w:szCs w:val="28"/>
              <w:lang w:val="en-US" w:eastAsia="zh-CN"/>
            </w:rPr>
            <w:t>5.贷后管理</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_Toc2425 </w:instrText>
          </w:r>
          <w:r>
            <w:rPr>
              <w:rFonts w:hint="eastAsia" w:ascii="宋体" w:hAnsi="宋体" w:eastAsia="宋体" w:cs="宋体"/>
              <w:sz w:val="28"/>
              <w:szCs w:val="28"/>
            </w:rPr>
            <w:fldChar w:fldCharType="separate"/>
          </w:r>
          <w:r>
            <w:rPr>
              <w:rFonts w:hint="eastAsia" w:ascii="宋体" w:hAnsi="宋体" w:eastAsia="宋体" w:cs="宋体"/>
              <w:sz w:val="28"/>
              <w:szCs w:val="28"/>
            </w:rPr>
            <w:t>13</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11"/>
            <w:tabs>
              <w:tab w:val="right" w:leader="dot" w:pos="8306"/>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_Toc11912 </w:instrText>
          </w:r>
          <w:r>
            <w:rPr>
              <w:rFonts w:hint="eastAsia" w:ascii="宋体" w:hAnsi="宋体" w:eastAsia="宋体" w:cs="宋体"/>
              <w:sz w:val="28"/>
              <w:szCs w:val="28"/>
              <w:lang w:val="en-US" w:eastAsia="zh-CN"/>
            </w:rPr>
            <w:fldChar w:fldCharType="separate"/>
          </w:r>
          <w:r>
            <w:rPr>
              <w:rFonts w:hint="eastAsia" w:ascii="宋体" w:hAnsi="宋体" w:eastAsia="宋体" w:cs="宋体"/>
              <w:sz w:val="28"/>
              <w:szCs w:val="28"/>
              <w:lang w:val="en-US" w:eastAsia="zh-CN"/>
            </w:rPr>
            <w:t>5.1押品地图</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_Toc11912 </w:instrText>
          </w:r>
          <w:r>
            <w:rPr>
              <w:rFonts w:hint="eastAsia" w:ascii="宋体" w:hAnsi="宋体" w:eastAsia="宋体" w:cs="宋体"/>
              <w:sz w:val="28"/>
              <w:szCs w:val="28"/>
            </w:rPr>
            <w:fldChar w:fldCharType="separate"/>
          </w:r>
          <w:r>
            <w:rPr>
              <w:rFonts w:hint="eastAsia" w:ascii="宋体" w:hAnsi="宋体" w:eastAsia="宋体" w:cs="宋体"/>
              <w:sz w:val="28"/>
              <w:szCs w:val="28"/>
            </w:rPr>
            <w:t>13</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11"/>
            <w:tabs>
              <w:tab w:val="right" w:leader="dot" w:pos="8306"/>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_Toc11226 </w:instrText>
          </w:r>
          <w:r>
            <w:rPr>
              <w:rFonts w:hint="eastAsia" w:ascii="宋体" w:hAnsi="宋体" w:eastAsia="宋体" w:cs="宋体"/>
              <w:sz w:val="28"/>
              <w:szCs w:val="28"/>
              <w:lang w:val="en-US" w:eastAsia="zh-CN"/>
            </w:rPr>
            <w:fldChar w:fldCharType="separate"/>
          </w:r>
          <w:r>
            <w:rPr>
              <w:rFonts w:hint="eastAsia" w:ascii="宋体" w:hAnsi="宋体" w:eastAsia="宋体" w:cs="宋体"/>
              <w:sz w:val="28"/>
              <w:szCs w:val="28"/>
              <w:lang w:val="en-US" w:eastAsia="zh-CN"/>
            </w:rPr>
            <w:t>5.2风险监控</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_Toc11226 </w:instrText>
          </w:r>
          <w:r>
            <w:rPr>
              <w:rFonts w:hint="eastAsia" w:ascii="宋体" w:hAnsi="宋体" w:eastAsia="宋体" w:cs="宋体"/>
              <w:sz w:val="28"/>
              <w:szCs w:val="28"/>
            </w:rPr>
            <w:fldChar w:fldCharType="separate"/>
          </w:r>
          <w:r>
            <w:rPr>
              <w:rFonts w:hint="eastAsia" w:ascii="宋体" w:hAnsi="宋体" w:eastAsia="宋体" w:cs="宋体"/>
              <w:sz w:val="28"/>
              <w:szCs w:val="28"/>
            </w:rPr>
            <w:t>14</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tabs>
              <w:tab w:val="left" w:pos="7011"/>
            </w:tabs>
            <w:spacing w:line="360" w:lineRule="auto"/>
            <w:jc w:val="both"/>
            <w:rPr>
              <w:rFonts w:hint="eastAsia"/>
              <w:sz w:val="30"/>
              <w:szCs w:val="30"/>
              <w:lang w:val="en-US" w:eastAsia="zh-CN"/>
            </w:rPr>
          </w:pPr>
          <w:r>
            <w:rPr>
              <w:rFonts w:hint="eastAsia" w:ascii="宋体" w:hAnsi="宋体" w:eastAsia="宋体" w:cs="宋体"/>
              <w:sz w:val="28"/>
              <w:szCs w:val="28"/>
              <w:lang w:val="en-US" w:eastAsia="zh-CN"/>
            </w:rPr>
            <w:fldChar w:fldCharType="end"/>
          </w:r>
        </w:p>
      </w:sdtContent>
    </w:sdt>
    <w:p>
      <w:pPr>
        <w:pStyle w:val="2"/>
        <w:bidi w:val="0"/>
        <w:spacing w:line="360" w:lineRule="auto"/>
      </w:pPr>
      <w:bookmarkStart w:id="0" w:name="_Toc977"/>
      <w:bookmarkStart w:id="1" w:name="_Toc25766"/>
      <w:bookmarkStart w:id="2" w:name="_Toc27673"/>
      <w:r>
        <w:rPr>
          <w:rFonts w:hint="eastAsia"/>
          <w:lang w:val="en-US" w:eastAsia="zh-CN"/>
        </w:rPr>
        <w:t>1.</w:t>
      </w:r>
      <w:r>
        <w:rPr>
          <w:rFonts w:hint="eastAsia"/>
        </w:rPr>
        <w:t>登录和注册</w:t>
      </w:r>
      <w:bookmarkEnd w:id="0"/>
      <w:bookmarkEnd w:id="1"/>
      <w:bookmarkEnd w:id="2"/>
    </w:p>
    <w:p>
      <w:pPr>
        <w:pStyle w:val="3"/>
        <w:bidi w:val="0"/>
        <w:spacing w:line="360" w:lineRule="auto"/>
      </w:pPr>
      <w:bookmarkStart w:id="3" w:name="_Toc22684"/>
      <w:bookmarkStart w:id="4" w:name="_Toc7967"/>
      <w:bookmarkStart w:id="5" w:name="_Toc8516"/>
      <w:r>
        <w:rPr>
          <w:rFonts w:hint="eastAsia"/>
          <w:lang w:val="en-US" w:eastAsia="zh-CN"/>
        </w:rPr>
        <w:t>1.1</w:t>
      </w:r>
      <w:r>
        <w:rPr>
          <w:rFonts w:hint="eastAsia"/>
        </w:rPr>
        <w:t>注册</w:t>
      </w:r>
      <w:bookmarkEnd w:id="3"/>
      <w:bookmarkEnd w:id="4"/>
      <w:bookmarkEnd w:id="5"/>
    </w:p>
    <w:p>
      <w:pPr>
        <w:bidi w:val="0"/>
        <w:spacing w:line="360" w:lineRule="auto"/>
      </w:pPr>
      <w:r>
        <w:rPr>
          <w:rFonts w:hint="eastAsia"/>
        </w:rPr>
        <w:t>用户账号在后台进行开通。</w:t>
      </w:r>
    </w:p>
    <w:p>
      <w:pPr>
        <w:pStyle w:val="3"/>
        <w:bidi w:val="0"/>
        <w:spacing w:line="360" w:lineRule="auto"/>
      </w:pPr>
      <w:bookmarkStart w:id="6" w:name="_Toc11316"/>
      <w:bookmarkStart w:id="7" w:name="_Toc17830"/>
      <w:bookmarkStart w:id="8" w:name="_Toc16946"/>
      <w:r>
        <w:rPr>
          <w:rFonts w:hint="eastAsia"/>
          <w:lang w:val="en-US" w:eastAsia="zh-CN"/>
        </w:rPr>
        <w:t>1.2</w:t>
      </w:r>
      <w:r>
        <w:rPr>
          <w:rFonts w:hint="eastAsia"/>
        </w:rPr>
        <w:t>登录</w:t>
      </w:r>
      <w:bookmarkEnd w:id="6"/>
      <w:bookmarkEnd w:id="7"/>
      <w:bookmarkEnd w:id="8"/>
    </w:p>
    <w:p>
      <w:pPr>
        <w:bidi w:val="0"/>
        <w:spacing w:line="360" w:lineRule="auto"/>
        <w:rPr>
          <w:rFonts w:hint="eastAsia"/>
          <w:lang w:val="en-US" w:eastAsia="zh-CN"/>
        </w:rPr>
      </w:pPr>
      <w:r>
        <w:rPr>
          <w:rFonts w:hint="eastAsia"/>
        </w:rPr>
        <w:t>打开押品管理系统登录界面，在登录框中输入“用户名”和“密码”，点击登录按钮完成登录操作。</w:t>
      </w:r>
      <w:bookmarkStart w:id="9" w:name="_Toc1073"/>
      <w:r>
        <w:rPr>
          <w:rFonts w:hint="eastAsia"/>
          <w:lang w:val="en-US" w:eastAsia="zh-CN"/>
        </w:rPr>
        <w:t>(如下图1.2显示)</w:t>
      </w:r>
    </w:p>
    <w:p>
      <w:pPr>
        <w:bidi w:val="0"/>
        <w:rPr>
          <w:rFonts w:hint="eastAsia"/>
        </w:rPr>
      </w:pPr>
      <w:bookmarkStart w:id="10" w:name="_Toc22529"/>
      <w:r>
        <w:rPr>
          <w:rFonts w:hint="eastAsia"/>
        </w:rPr>
        <w:t>正常情况：</w:t>
      </w:r>
      <w:bookmarkEnd w:id="9"/>
      <w:bookmarkEnd w:id="10"/>
    </w:p>
    <w:p>
      <w:pPr>
        <w:numPr>
          <w:ilvl w:val="0"/>
          <w:numId w:val="1"/>
        </w:numPr>
        <w:bidi w:val="0"/>
        <w:spacing w:line="360" w:lineRule="auto"/>
      </w:pPr>
      <w:r>
        <w:rPr>
          <w:rFonts w:hint="eastAsia"/>
        </w:rPr>
        <w:t>登录成功，进入到管理系统首页。</w:t>
      </w:r>
    </w:p>
    <w:p>
      <w:pPr>
        <w:bidi w:val="0"/>
        <w:rPr>
          <w:rFonts w:hint="eastAsia"/>
        </w:rPr>
      </w:pPr>
      <w:bookmarkStart w:id="11" w:name="_Toc8160"/>
      <w:bookmarkStart w:id="12" w:name="_Toc18515"/>
      <w:r>
        <w:rPr>
          <w:rFonts w:hint="eastAsia"/>
        </w:rPr>
        <w:t>异常情况：</w:t>
      </w:r>
      <w:bookmarkEnd w:id="11"/>
      <w:bookmarkEnd w:id="12"/>
    </w:p>
    <w:p>
      <w:pPr>
        <w:numPr>
          <w:ilvl w:val="0"/>
          <w:numId w:val="1"/>
        </w:numPr>
        <w:bidi w:val="0"/>
        <w:spacing w:line="360" w:lineRule="auto"/>
      </w:pPr>
      <w:r>
        <w:rPr>
          <w:rFonts w:hint="eastAsia"/>
        </w:rPr>
        <w:t>用户名或密码错误：请检查用户名或者密码输入情况；</w:t>
      </w:r>
    </w:p>
    <w:p>
      <w:pPr>
        <w:numPr>
          <w:ilvl w:val="0"/>
          <w:numId w:val="1"/>
        </w:numPr>
        <w:bidi w:val="0"/>
        <w:spacing w:line="360" w:lineRule="auto"/>
      </w:pPr>
      <w:r>
        <w:rPr>
          <w:rFonts w:hint="eastAsia"/>
        </w:rPr>
        <w:t>其它问题：请检查网络，或直接联系平台管理员反馈；</w:t>
      </w:r>
    </w:p>
    <w:p>
      <w:pPr>
        <w:tabs>
          <w:tab w:val="left" w:pos="7011"/>
        </w:tabs>
        <w:spacing w:line="360" w:lineRule="auto"/>
        <w:jc w:val="both"/>
      </w:pPr>
      <w:r>
        <w:drawing>
          <wp:inline distT="0" distB="0" distL="114300" distR="114300">
            <wp:extent cx="5261610" cy="2392045"/>
            <wp:effectExtent l="0" t="0" r="1524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61610" cy="2392045"/>
                    </a:xfrm>
                    <a:prstGeom prst="rect">
                      <a:avLst/>
                    </a:prstGeom>
                    <a:noFill/>
                    <a:ln>
                      <a:noFill/>
                    </a:ln>
                  </pic:spPr>
                </pic:pic>
              </a:graphicData>
            </a:graphic>
          </wp:inline>
        </w:drawing>
      </w:r>
    </w:p>
    <w:p>
      <w:pPr>
        <w:tabs>
          <w:tab w:val="left" w:pos="7011"/>
        </w:tabs>
        <w:spacing w:line="360" w:lineRule="auto"/>
        <w:jc w:val="center"/>
        <w:rPr>
          <w:rFonts w:hint="default" w:eastAsiaTheme="minorEastAsia"/>
          <w:lang w:val="en-US" w:eastAsia="zh-CN"/>
        </w:rPr>
      </w:pPr>
      <w:r>
        <w:rPr>
          <w:rFonts w:hint="eastAsia"/>
          <w:lang w:val="en-US" w:eastAsia="zh-CN"/>
        </w:rPr>
        <w:t>图1.2</w:t>
      </w:r>
    </w:p>
    <w:p>
      <w:pPr>
        <w:pStyle w:val="2"/>
        <w:numPr>
          <w:ilvl w:val="0"/>
          <w:numId w:val="2"/>
        </w:numPr>
        <w:bidi w:val="0"/>
        <w:spacing w:line="360" w:lineRule="auto"/>
        <w:rPr>
          <w:rFonts w:hint="eastAsia"/>
          <w:lang w:eastAsia="zh-CN"/>
        </w:rPr>
      </w:pPr>
      <w:bookmarkStart w:id="13" w:name="_Toc10699"/>
      <w:r>
        <w:rPr>
          <w:rFonts w:hint="eastAsia"/>
          <w:lang w:eastAsia="zh-CN"/>
        </w:rPr>
        <w:t>首页</w:t>
      </w:r>
      <w:bookmarkEnd w:id="13"/>
    </w:p>
    <w:p>
      <w:pPr>
        <w:bidi w:val="0"/>
        <w:spacing w:line="360" w:lineRule="auto"/>
        <w:ind w:firstLine="420" w:firstLineChars="200"/>
        <w:rPr>
          <w:rFonts w:hint="eastAsia"/>
          <w:lang w:eastAsia="zh-CN"/>
        </w:rPr>
      </w:pPr>
      <w:r>
        <w:rPr>
          <w:rFonts w:hint="eastAsia"/>
          <w:lang w:eastAsia="zh-CN"/>
        </w:rPr>
        <w:t>客户</w:t>
      </w:r>
      <w:r>
        <w:rPr>
          <w:rFonts w:hint="eastAsia"/>
        </w:rPr>
        <w:t>进入</w:t>
      </w:r>
      <w:r>
        <w:rPr>
          <w:rFonts w:hint="eastAsia"/>
          <w:lang w:eastAsia="zh-CN"/>
        </w:rPr>
        <w:t>此</w:t>
      </w:r>
      <w:r>
        <w:rPr>
          <w:rFonts w:hint="eastAsia"/>
        </w:rPr>
        <w:t>系统</w:t>
      </w:r>
      <w:r>
        <w:rPr>
          <w:rFonts w:hint="eastAsia"/>
          <w:lang w:eastAsia="zh-CN"/>
        </w:rPr>
        <w:t>，</w:t>
      </w:r>
      <w:r>
        <w:rPr>
          <w:rFonts w:hint="eastAsia"/>
          <w:lang w:val="en-US" w:eastAsia="zh-CN"/>
        </w:rPr>
        <w:t>在首页可以看到统计的：</w:t>
      </w:r>
      <w:r>
        <w:rPr>
          <w:rFonts w:hint="eastAsia"/>
        </w:rPr>
        <w:t>总押品数</w:t>
      </w:r>
      <w:r>
        <w:rPr>
          <w:rFonts w:hint="eastAsia"/>
          <w:lang w:eastAsia="zh-CN"/>
        </w:rPr>
        <w:t>、</w:t>
      </w:r>
      <w:r>
        <w:rPr>
          <w:rFonts w:hint="eastAsia"/>
          <w:lang w:val="en-US" w:eastAsia="zh-CN"/>
        </w:rPr>
        <w:t>下属</w:t>
      </w:r>
      <w:r>
        <w:rPr>
          <w:rFonts w:hint="eastAsia"/>
        </w:rPr>
        <w:t>单位</w:t>
      </w:r>
      <w:r>
        <w:rPr>
          <w:rFonts w:hint="eastAsia"/>
          <w:lang w:eastAsia="zh-CN"/>
        </w:rPr>
        <w:t>数、</w:t>
      </w:r>
      <w:r>
        <w:rPr>
          <w:rFonts w:hint="eastAsia"/>
        </w:rPr>
        <w:t>押品数的总价之和</w:t>
      </w:r>
      <w:r>
        <w:rPr>
          <w:rFonts w:hint="eastAsia"/>
          <w:lang w:eastAsia="zh-CN"/>
        </w:rPr>
        <w:t>、</w:t>
      </w:r>
      <w:r>
        <w:rPr>
          <w:rFonts w:hint="eastAsia"/>
        </w:rPr>
        <w:t>云评-比较案例的数量</w:t>
      </w:r>
      <w:r>
        <w:rPr>
          <w:rFonts w:hint="eastAsia"/>
          <w:lang w:eastAsia="zh-CN"/>
        </w:rPr>
        <w:t>数、</w:t>
      </w:r>
      <w:r>
        <w:rPr>
          <w:rFonts w:hint="eastAsia"/>
        </w:rPr>
        <w:t>签约公司数量</w:t>
      </w:r>
      <w:r>
        <w:rPr>
          <w:rFonts w:hint="eastAsia"/>
          <w:lang w:eastAsia="zh-CN"/>
        </w:rPr>
        <w:t>、</w:t>
      </w:r>
      <w:r>
        <w:rPr>
          <w:rFonts w:hint="eastAsia"/>
        </w:rPr>
        <w:t>项目委托的总数量：</w:t>
      </w:r>
      <w:r>
        <w:rPr>
          <w:rFonts w:hint="eastAsia"/>
          <w:lang w:eastAsia="zh-CN"/>
        </w:rPr>
        <w:t>（如下图</w:t>
      </w:r>
      <w:r>
        <w:rPr>
          <w:rFonts w:hint="eastAsia"/>
          <w:lang w:val="en-US" w:eastAsia="zh-CN"/>
        </w:rPr>
        <w:t>2.1显示</w:t>
      </w:r>
      <w:r>
        <w:rPr>
          <w:rFonts w:hint="eastAsia"/>
          <w:lang w:eastAsia="zh-CN"/>
        </w:rPr>
        <w:t>）</w:t>
      </w:r>
    </w:p>
    <w:p>
      <w:pPr>
        <w:bidi w:val="0"/>
        <w:spacing w:line="360" w:lineRule="auto"/>
        <w:ind w:left="420" w:leftChars="200"/>
        <w:rPr>
          <w:rFonts w:hint="eastAsia"/>
          <w:b/>
          <w:bCs/>
          <w:highlight w:val="red"/>
          <w:lang w:eastAsia="zh-CN"/>
        </w:rPr>
      </w:pPr>
      <w:r>
        <w:rPr>
          <w:rFonts w:hint="eastAsia"/>
          <w:b/>
          <w:bCs/>
          <w:highlight w:val="red"/>
          <w:lang w:eastAsia="zh-CN"/>
        </w:rPr>
        <w:t>备注说明：</w:t>
      </w:r>
    </w:p>
    <w:p>
      <w:pPr>
        <w:numPr>
          <w:ilvl w:val="0"/>
          <w:numId w:val="3"/>
        </w:numPr>
        <w:bidi w:val="0"/>
        <w:spacing w:line="360" w:lineRule="auto"/>
        <w:ind w:left="1260" w:leftChars="0" w:hanging="420" w:firstLineChars="0"/>
        <w:rPr>
          <w:rFonts w:hint="eastAsia"/>
        </w:rPr>
      </w:pPr>
      <w:r>
        <w:rPr>
          <w:rFonts w:hint="eastAsia"/>
        </w:rPr>
        <w:t>总押品数为：整个集团(总行-分行-支行)的总押品数量</w:t>
      </w:r>
    </w:p>
    <w:p>
      <w:pPr>
        <w:numPr>
          <w:ilvl w:val="0"/>
          <w:numId w:val="3"/>
        </w:numPr>
        <w:bidi w:val="0"/>
        <w:spacing w:line="360" w:lineRule="auto"/>
        <w:ind w:left="1260" w:leftChars="0" w:hanging="420" w:firstLineChars="0"/>
        <w:rPr>
          <w:rFonts w:hint="eastAsia"/>
        </w:rPr>
      </w:pPr>
      <w:r>
        <w:rPr>
          <w:rFonts w:hint="eastAsia"/>
        </w:rPr>
        <w:t>下属单位，该总行下的 分行和支行机构数的总和</w:t>
      </w:r>
    </w:p>
    <w:p>
      <w:pPr>
        <w:numPr>
          <w:ilvl w:val="0"/>
          <w:numId w:val="3"/>
        </w:numPr>
        <w:bidi w:val="0"/>
        <w:spacing w:line="360" w:lineRule="auto"/>
        <w:ind w:left="1260" w:leftChars="0" w:hanging="420" w:firstLineChars="0"/>
        <w:rPr>
          <w:rFonts w:hint="eastAsia"/>
        </w:rPr>
      </w:pPr>
      <w:r>
        <w:rPr>
          <w:rFonts w:hint="eastAsia"/>
        </w:rPr>
        <w:t>总金额：整个集团(总行-分行-支行)的总押品数的总价之和</w:t>
      </w:r>
    </w:p>
    <w:p>
      <w:pPr>
        <w:numPr>
          <w:ilvl w:val="0"/>
          <w:numId w:val="3"/>
        </w:numPr>
        <w:bidi w:val="0"/>
        <w:spacing w:line="360" w:lineRule="auto"/>
        <w:ind w:left="1260" w:leftChars="0" w:hanging="420" w:firstLineChars="0"/>
        <w:rPr>
          <w:rFonts w:hint="eastAsia"/>
        </w:rPr>
      </w:pPr>
      <w:r>
        <w:rPr>
          <w:rFonts w:hint="eastAsia"/>
        </w:rPr>
        <w:t>成交案例：云评-比较案例的数量</w:t>
      </w:r>
    </w:p>
    <w:p>
      <w:pPr>
        <w:numPr>
          <w:ilvl w:val="0"/>
          <w:numId w:val="3"/>
        </w:numPr>
        <w:bidi w:val="0"/>
        <w:spacing w:line="360" w:lineRule="auto"/>
        <w:ind w:left="1260" w:leftChars="0" w:hanging="420" w:firstLineChars="0"/>
        <w:rPr>
          <w:rFonts w:hint="eastAsia"/>
        </w:rPr>
      </w:pPr>
      <w:r>
        <w:rPr>
          <w:rFonts w:hint="eastAsia"/>
        </w:rPr>
        <w:t>估价公司：整个集团(总行-分行-支行)的总的签约公司数量</w:t>
      </w:r>
    </w:p>
    <w:p>
      <w:pPr>
        <w:numPr>
          <w:ilvl w:val="0"/>
          <w:numId w:val="3"/>
        </w:numPr>
        <w:bidi w:val="0"/>
        <w:spacing w:line="360" w:lineRule="auto"/>
        <w:ind w:left="1260" w:leftChars="0" w:hanging="420" w:firstLineChars="0"/>
        <w:rPr>
          <w:rFonts w:hint="default"/>
          <w:lang w:val="en-US" w:eastAsia="zh-CN"/>
        </w:rPr>
      </w:pPr>
      <w:r>
        <w:rPr>
          <w:rFonts w:hint="eastAsia"/>
        </w:rPr>
        <w:t>查勘记录：整个集团(总行-分行-支行)项目委托的总数量</w:t>
      </w:r>
    </w:p>
    <w:p>
      <w:pPr>
        <w:bidi w:val="0"/>
        <w:spacing w:line="360" w:lineRule="auto"/>
        <w:jc w:val="both"/>
      </w:pPr>
      <w:r>
        <w:drawing>
          <wp:inline distT="0" distB="0" distL="114300" distR="114300">
            <wp:extent cx="5265420" cy="2403475"/>
            <wp:effectExtent l="0" t="0" r="11430" b="158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65420" cy="2403475"/>
                    </a:xfrm>
                    <a:prstGeom prst="rect">
                      <a:avLst/>
                    </a:prstGeom>
                    <a:noFill/>
                    <a:ln>
                      <a:noFill/>
                    </a:ln>
                  </pic:spPr>
                </pic:pic>
              </a:graphicData>
            </a:graphic>
          </wp:inline>
        </w:drawing>
      </w:r>
    </w:p>
    <w:p>
      <w:pPr>
        <w:bidi w:val="0"/>
        <w:spacing w:line="360" w:lineRule="auto"/>
        <w:jc w:val="center"/>
        <w:rPr>
          <w:rFonts w:hint="default" w:eastAsiaTheme="minorEastAsia"/>
          <w:lang w:val="en-US" w:eastAsia="zh-CN"/>
        </w:rPr>
      </w:pPr>
      <w:r>
        <w:rPr>
          <w:rFonts w:hint="eastAsia"/>
          <w:lang w:eastAsia="zh-CN"/>
        </w:rPr>
        <w:t>图</w:t>
      </w:r>
      <w:r>
        <w:rPr>
          <w:rFonts w:hint="eastAsia"/>
          <w:lang w:val="en-US" w:eastAsia="zh-CN"/>
        </w:rPr>
        <w:t>2.1</w:t>
      </w:r>
    </w:p>
    <w:p>
      <w:pPr>
        <w:pStyle w:val="2"/>
        <w:numPr>
          <w:ilvl w:val="0"/>
          <w:numId w:val="2"/>
        </w:numPr>
        <w:bidi w:val="0"/>
        <w:spacing w:line="360" w:lineRule="auto"/>
        <w:rPr>
          <w:rFonts w:hint="eastAsia"/>
          <w:lang w:val="en-US" w:eastAsia="zh-CN"/>
        </w:rPr>
      </w:pPr>
      <w:bookmarkStart w:id="14" w:name="_Toc12488"/>
      <w:r>
        <w:rPr>
          <w:rFonts w:hint="eastAsia"/>
          <w:lang w:val="en-US" w:eastAsia="zh-CN"/>
        </w:rPr>
        <w:t>贷前调查</w:t>
      </w:r>
      <w:bookmarkEnd w:id="14"/>
    </w:p>
    <w:p>
      <w:pPr>
        <w:spacing w:line="360" w:lineRule="auto"/>
        <w:ind w:firstLine="420" w:firstLineChars="200"/>
        <w:rPr>
          <w:rFonts w:hint="eastAsia"/>
          <w:lang w:val="en-US" w:eastAsia="zh-CN"/>
        </w:rPr>
      </w:pPr>
      <w:r>
        <w:rPr>
          <w:rFonts w:hint="eastAsia"/>
          <w:lang w:val="en-US" w:eastAsia="zh-CN"/>
        </w:rPr>
        <w:t>前调查包括：自动估价、人工估价、询价记录、评估委托、委托管理功能；</w:t>
      </w:r>
    </w:p>
    <w:p>
      <w:pPr>
        <w:pStyle w:val="3"/>
        <w:bidi w:val="0"/>
        <w:spacing w:line="360" w:lineRule="auto"/>
        <w:rPr>
          <w:rFonts w:hint="eastAsia"/>
          <w:lang w:val="en-US" w:eastAsia="zh-CN"/>
        </w:rPr>
      </w:pPr>
      <w:bookmarkStart w:id="15" w:name="_Toc19365"/>
      <w:r>
        <w:rPr>
          <w:rFonts w:hint="eastAsia"/>
          <w:lang w:val="en-US" w:eastAsia="zh-CN"/>
        </w:rPr>
        <w:t>3.1自动估价</w:t>
      </w:r>
      <w:bookmarkEnd w:id="15"/>
    </w:p>
    <w:p>
      <w:pPr>
        <w:bidi w:val="0"/>
        <w:spacing w:line="360" w:lineRule="auto"/>
        <w:ind w:firstLine="420" w:firstLineChars="200"/>
        <w:rPr>
          <w:rFonts w:hint="eastAsia"/>
          <w:lang w:eastAsia="zh-CN"/>
        </w:rPr>
      </w:pPr>
      <w:r>
        <w:rPr>
          <w:rFonts w:hint="eastAsia"/>
        </w:rPr>
        <w:t>提交小区名称及相关房屋信息，系统将根据用户所提交的信息自动计算出评估单价和评估总价。</w:t>
      </w:r>
    </w:p>
    <w:p>
      <w:pPr>
        <w:bidi w:val="0"/>
        <w:spacing w:line="360" w:lineRule="auto"/>
        <w:ind w:firstLine="420" w:firstLineChars="200"/>
        <w:rPr>
          <w:rFonts w:hint="eastAsia" w:eastAsiaTheme="minorEastAsia"/>
          <w:lang w:eastAsia="zh-CN"/>
        </w:rPr>
      </w:pPr>
      <w:r>
        <w:rPr>
          <w:rFonts w:hint="eastAsia"/>
        </w:rPr>
        <w:t>在功能首页选择要查询的省份和城市，并输入小区名称，点击下拉菜单中的选项或者“查找”按钮，显示所查询的结果</w:t>
      </w:r>
      <w:r>
        <w:rPr>
          <w:rFonts w:hint="eastAsia"/>
          <w:lang w:eastAsia="zh-CN"/>
        </w:rPr>
        <w:t>。（如下图</w:t>
      </w:r>
      <w:r>
        <w:rPr>
          <w:rFonts w:hint="eastAsia"/>
          <w:lang w:val="en-US" w:eastAsia="zh-CN"/>
        </w:rPr>
        <w:t>3.1.1）</w:t>
      </w:r>
    </w:p>
    <w:p>
      <w:pPr>
        <w:bidi w:val="0"/>
        <w:spacing w:line="360" w:lineRule="auto"/>
      </w:pPr>
      <w:r>
        <w:drawing>
          <wp:inline distT="0" distB="0" distL="114300" distR="114300">
            <wp:extent cx="5584190" cy="2561590"/>
            <wp:effectExtent l="0" t="0" r="16510" b="1016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
                    <a:stretch>
                      <a:fillRect/>
                    </a:stretch>
                  </pic:blipFill>
                  <pic:spPr>
                    <a:xfrm>
                      <a:off x="0" y="0"/>
                      <a:ext cx="5584190" cy="2561590"/>
                    </a:xfrm>
                    <a:prstGeom prst="rect">
                      <a:avLst/>
                    </a:prstGeom>
                    <a:noFill/>
                    <a:ln>
                      <a:noFill/>
                    </a:ln>
                  </pic:spPr>
                </pic:pic>
              </a:graphicData>
            </a:graphic>
          </wp:inline>
        </w:drawing>
      </w:r>
    </w:p>
    <w:p>
      <w:pPr>
        <w:bidi w:val="0"/>
        <w:spacing w:line="360" w:lineRule="auto"/>
        <w:ind w:firstLine="420" w:firstLineChars="200"/>
        <w:jc w:val="center"/>
        <w:rPr>
          <w:rFonts w:hint="eastAsia"/>
          <w:lang w:eastAsia="zh-CN"/>
        </w:rPr>
      </w:pPr>
      <w:r>
        <w:rPr>
          <w:rFonts w:hint="eastAsia"/>
          <w:lang w:eastAsia="zh-CN"/>
        </w:rPr>
        <w:t>图</w:t>
      </w:r>
      <w:r>
        <w:rPr>
          <w:rFonts w:hint="eastAsia"/>
          <w:lang w:val="en-US" w:eastAsia="zh-CN"/>
        </w:rPr>
        <w:t>3.1.1</w:t>
      </w:r>
    </w:p>
    <w:p>
      <w:pPr>
        <w:bidi w:val="0"/>
        <w:spacing w:line="360" w:lineRule="auto"/>
        <w:ind w:firstLine="630" w:firstLineChars="300"/>
        <w:jc w:val="left"/>
        <w:rPr>
          <w:rFonts w:hint="eastAsia" w:eastAsiaTheme="minorEastAsia"/>
          <w:lang w:eastAsia="zh-CN"/>
        </w:rPr>
      </w:pPr>
      <w:r>
        <w:rPr>
          <w:rFonts w:hint="eastAsia"/>
        </w:rPr>
        <w:t>在小区查询结果页中点击所要进行估价的小区名称，填写相关房屋信息并点击“在线估价”</w:t>
      </w:r>
      <w:r>
        <w:rPr>
          <w:rFonts w:hint="eastAsia"/>
          <w:lang w:eastAsia="zh-CN"/>
        </w:rPr>
        <w:t>“人工估价”“评估委托”</w:t>
      </w:r>
      <w:r>
        <w:rPr>
          <w:rFonts w:hint="eastAsia"/>
        </w:rPr>
        <w:t>按钮。</w:t>
      </w:r>
      <w:r>
        <w:rPr>
          <w:rFonts w:hint="eastAsia"/>
          <w:lang w:eastAsia="zh-CN"/>
        </w:rPr>
        <w:t>（如下图</w:t>
      </w:r>
      <w:r>
        <w:rPr>
          <w:rFonts w:hint="eastAsia"/>
          <w:lang w:val="en-US" w:eastAsia="zh-CN"/>
        </w:rPr>
        <w:t>3.1.2</w:t>
      </w:r>
      <w:r>
        <w:rPr>
          <w:rFonts w:hint="eastAsia"/>
          <w:lang w:eastAsia="zh-CN"/>
        </w:rPr>
        <w:t>）</w:t>
      </w:r>
    </w:p>
    <w:p>
      <w:pPr>
        <w:bidi w:val="0"/>
        <w:spacing w:line="360" w:lineRule="auto"/>
        <w:jc w:val="left"/>
      </w:pPr>
      <w:r>
        <w:drawing>
          <wp:inline distT="0" distB="0" distL="114300" distR="114300">
            <wp:extent cx="5477510" cy="2453640"/>
            <wp:effectExtent l="0" t="0" r="889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7"/>
                    <a:stretch>
                      <a:fillRect/>
                    </a:stretch>
                  </pic:blipFill>
                  <pic:spPr>
                    <a:xfrm>
                      <a:off x="0" y="0"/>
                      <a:ext cx="5477510" cy="2453640"/>
                    </a:xfrm>
                    <a:prstGeom prst="rect">
                      <a:avLst/>
                    </a:prstGeom>
                    <a:noFill/>
                    <a:ln>
                      <a:noFill/>
                    </a:ln>
                  </pic:spPr>
                </pic:pic>
              </a:graphicData>
            </a:graphic>
          </wp:inline>
        </w:drawing>
      </w:r>
    </w:p>
    <w:p>
      <w:pPr>
        <w:bidi w:val="0"/>
        <w:spacing w:line="360" w:lineRule="auto"/>
        <w:jc w:val="center"/>
      </w:pPr>
      <w:r>
        <w:rPr>
          <w:rFonts w:hint="eastAsia"/>
          <w:lang w:eastAsia="zh-CN"/>
        </w:rPr>
        <w:t>图</w:t>
      </w:r>
      <w:r>
        <w:rPr>
          <w:rFonts w:hint="eastAsia"/>
          <w:lang w:val="en-US" w:eastAsia="zh-CN"/>
        </w:rPr>
        <w:t>3.1.2</w:t>
      </w:r>
    </w:p>
    <w:p>
      <w:pPr>
        <w:bidi w:val="0"/>
        <w:spacing w:line="360" w:lineRule="auto"/>
        <w:rPr>
          <w:rFonts w:hint="eastAsia"/>
        </w:rPr>
      </w:pPr>
      <w:r>
        <w:rPr>
          <w:rFonts w:hint="eastAsia"/>
        </w:rPr>
        <w:t>系统将根据用户所提交的房屋及小区信息自动计算其评估单价和评估总价，并在页面右侧的“评估结果”中显示。</w:t>
      </w:r>
    </w:p>
    <w:p>
      <w:pPr>
        <w:pStyle w:val="3"/>
        <w:bidi w:val="0"/>
        <w:spacing w:line="360" w:lineRule="auto"/>
        <w:rPr>
          <w:rFonts w:hint="eastAsia"/>
          <w:lang w:val="en-US" w:eastAsia="zh-CN"/>
        </w:rPr>
      </w:pPr>
      <w:bookmarkStart w:id="16" w:name="_Toc28668"/>
      <w:r>
        <w:rPr>
          <w:rFonts w:hint="eastAsia"/>
          <w:lang w:val="en-US" w:eastAsia="zh-CN"/>
        </w:rPr>
        <w:t>3.2人工估价</w:t>
      </w:r>
      <w:bookmarkEnd w:id="16"/>
    </w:p>
    <w:p>
      <w:pPr>
        <w:bidi w:val="0"/>
        <w:spacing w:line="360" w:lineRule="auto"/>
        <w:ind w:firstLine="420" w:firstLineChars="200"/>
        <w:rPr>
          <w:rFonts w:hint="eastAsia"/>
          <w:lang w:eastAsia="zh-CN"/>
        </w:rPr>
      </w:pPr>
      <w:r>
        <w:rPr>
          <w:rFonts w:hint="eastAsia"/>
          <w:lang w:eastAsia="zh-CN"/>
        </w:rPr>
        <w:t>可针对不同种类的押品，提交不能的需求材料进行人工进行在线评估操作（如下图</w:t>
      </w:r>
      <w:r>
        <w:rPr>
          <w:rFonts w:hint="eastAsia"/>
          <w:lang w:val="en-US" w:eastAsia="zh-CN"/>
        </w:rPr>
        <w:t>3.2.1显示</w:t>
      </w:r>
      <w:r>
        <w:rPr>
          <w:rFonts w:hint="eastAsia"/>
          <w:lang w:eastAsia="zh-CN"/>
        </w:rPr>
        <w:t>）；</w:t>
      </w:r>
    </w:p>
    <w:p>
      <w:pPr>
        <w:bidi w:val="0"/>
        <w:spacing w:line="360" w:lineRule="auto"/>
        <w:ind w:firstLine="420" w:firstLineChars="200"/>
        <w:rPr>
          <w:rFonts w:hint="eastAsia"/>
          <w:lang w:eastAsia="zh-CN"/>
        </w:rPr>
      </w:pPr>
      <w:r>
        <w:rPr>
          <w:rFonts w:hint="eastAsia"/>
        </w:rPr>
        <w:t>填写相关房屋信息并点击</w:t>
      </w:r>
      <w:r>
        <w:rPr>
          <w:rFonts w:hint="eastAsia"/>
          <w:lang w:eastAsia="zh-CN"/>
        </w:rPr>
        <w:t>“</w:t>
      </w:r>
      <w:r>
        <w:rPr>
          <w:rFonts w:hint="eastAsia"/>
        </w:rPr>
        <w:t>在线估价</w:t>
      </w:r>
      <w:r>
        <w:rPr>
          <w:rFonts w:hint="eastAsia"/>
          <w:lang w:eastAsia="zh-CN"/>
        </w:rPr>
        <w:t>”</w:t>
      </w:r>
      <w:r>
        <w:rPr>
          <w:rFonts w:hint="eastAsia"/>
        </w:rPr>
        <w:t>按钮</w:t>
      </w:r>
      <w:r>
        <w:rPr>
          <w:rFonts w:hint="eastAsia"/>
          <w:lang w:eastAsia="zh-CN"/>
        </w:rPr>
        <w:t>，对应的估价员会接收到系统推送的评估信息，针对评估信息进行估价回复；</w:t>
      </w:r>
    </w:p>
    <w:p>
      <w:pPr>
        <w:bidi w:val="0"/>
        <w:spacing w:line="360" w:lineRule="auto"/>
        <w:ind w:firstLine="420" w:firstLineChars="200"/>
        <w:rPr>
          <w:rFonts w:hint="eastAsia"/>
          <w:lang w:eastAsia="zh-CN"/>
        </w:rPr>
      </w:pPr>
      <w:r>
        <w:rPr>
          <w:rFonts w:hint="eastAsia"/>
          <w:lang w:eastAsia="zh-CN"/>
        </w:rPr>
        <w:t>估价师均可在</w:t>
      </w:r>
      <w:r>
        <w:rPr>
          <w:rFonts w:hint="eastAsia"/>
          <w:lang w:val="en-US" w:eastAsia="zh-CN"/>
        </w:rPr>
        <w:t>30分钟之内对此评估的对象进行复估操作；</w:t>
      </w:r>
      <w:r>
        <w:rPr>
          <w:rFonts w:hint="eastAsia"/>
          <w:lang w:eastAsia="zh-CN"/>
        </w:rPr>
        <w:t>准确性、时效性、完整性；</w:t>
      </w:r>
    </w:p>
    <w:p>
      <w:pPr>
        <w:bidi w:val="0"/>
        <w:spacing w:line="360" w:lineRule="auto"/>
      </w:pPr>
      <w:r>
        <w:drawing>
          <wp:inline distT="0" distB="0" distL="114300" distR="114300">
            <wp:extent cx="5471160" cy="2496185"/>
            <wp:effectExtent l="0" t="0" r="15240" b="184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8"/>
                    <a:stretch>
                      <a:fillRect/>
                    </a:stretch>
                  </pic:blipFill>
                  <pic:spPr>
                    <a:xfrm>
                      <a:off x="0" y="0"/>
                      <a:ext cx="5471160" cy="2496185"/>
                    </a:xfrm>
                    <a:prstGeom prst="rect">
                      <a:avLst/>
                    </a:prstGeom>
                    <a:noFill/>
                    <a:ln>
                      <a:noFill/>
                    </a:ln>
                  </pic:spPr>
                </pic:pic>
              </a:graphicData>
            </a:graphic>
          </wp:inline>
        </w:drawing>
      </w:r>
    </w:p>
    <w:p>
      <w:pPr>
        <w:bidi w:val="0"/>
        <w:spacing w:line="360" w:lineRule="auto"/>
        <w:ind w:firstLine="420" w:firstLineChars="200"/>
        <w:jc w:val="center"/>
        <w:rPr>
          <w:rFonts w:hint="eastAsia"/>
          <w:lang w:val="en-US" w:eastAsia="zh-CN"/>
        </w:rPr>
      </w:pPr>
      <w:r>
        <w:rPr>
          <w:rFonts w:hint="eastAsia"/>
          <w:lang w:eastAsia="zh-CN"/>
        </w:rPr>
        <w:t>图</w:t>
      </w:r>
      <w:r>
        <w:rPr>
          <w:rFonts w:hint="eastAsia"/>
          <w:lang w:val="en-US" w:eastAsia="zh-CN"/>
        </w:rPr>
        <w:t>3.2.1</w:t>
      </w:r>
    </w:p>
    <w:p>
      <w:pPr>
        <w:bidi w:val="0"/>
        <w:spacing w:line="360" w:lineRule="auto"/>
        <w:ind w:firstLine="420" w:firstLineChars="200"/>
        <w:jc w:val="center"/>
        <w:rPr>
          <w:rFonts w:hint="eastAsia"/>
          <w:lang w:val="en-US" w:eastAsia="zh-CN"/>
        </w:rPr>
      </w:pPr>
    </w:p>
    <w:p>
      <w:pPr>
        <w:pStyle w:val="3"/>
        <w:bidi w:val="0"/>
        <w:spacing w:line="360" w:lineRule="auto"/>
        <w:rPr>
          <w:rFonts w:hint="eastAsia"/>
          <w:lang w:val="en-US" w:eastAsia="zh-CN"/>
        </w:rPr>
      </w:pPr>
      <w:bookmarkStart w:id="17" w:name="_Toc22240"/>
      <w:r>
        <w:rPr>
          <w:rFonts w:hint="eastAsia"/>
          <w:lang w:val="en-US" w:eastAsia="zh-CN"/>
        </w:rPr>
        <w:t>3.3询价记录</w:t>
      </w:r>
      <w:bookmarkEnd w:id="17"/>
    </w:p>
    <w:p>
      <w:pPr>
        <w:bidi w:val="0"/>
        <w:spacing w:line="360" w:lineRule="auto"/>
        <w:ind w:firstLine="420" w:firstLineChars="200"/>
        <w:rPr>
          <w:rFonts w:hint="eastAsia"/>
          <w:lang w:eastAsia="zh-CN"/>
        </w:rPr>
      </w:pPr>
      <w:r>
        <w:rPr>
          <w:rFonts w:hint="eastAsia"/>
          <w:lang w:eastAsia="zh-CN"/>
        </w:rPr>
        <w:t>列表记录银行人员自动估价</w:t>
      </w:r>
      <w:r>
        <w:rPr>
          <w:rFonts w:hint="eastAsia"/>
          <w:lang w:val="en-US" w:eastAsia="zh-CN"/>
        </w:rPr>
        <w:t>/人工估价</w:t>
      </w:r>
      <w:r>
        <w:rPr>
          <w:rFonts w:hint="eastAsia"/>
          <w:lang w:eastAsia="zh-CN"/>
        </w:rPr>
        <w:t>记录；可以查看询价详情，打印出对应的询价单（如下图</w:t>
      </w:r>
      <w:r>
        <w:rPr>
          <w:rFonts w:hint="eastAsia"/>
          <w:lang w:val="en-US" w:eastAsia="zh-CN"/>
        </w:rPr>
        <w:t>3.3.1</w:t>
      </w:r>
      <w:r>
        <w:rPr>
          <w:rFonts w:hint="eastAsia"/>
          <w:lang w:eastAsia="zh-CN"/>
        </w:rPr>
        <w:t>）</w:t>
      </w:r>
    </w:p>
    <w:p>
      <w:pPr>
        <w:bidi w:val="0"/>
        <w:spacing w:line="360" w:lineRule="auto"/>
      </w:pPr>
      <w:r>
        <w:drawing>
          <wp:inline distT="0" distB="0" distL="114300" distR="114300">
            <wp:extent cx="5269865" cy="2214880"/>
            <wp:effectExtent l="0" t="0" r="6985" b="139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9"/>
                    <a:stretch>
                      <a:fillRect/>
                    </a:stretch>
                  </pic:blipFill>
                  <pic:spPr>
                    <a:xfrm>
                      <a:off x="0" y="0"/>
                      <a:ext cx="5269865" cy="2214880"/>
                    </a:xfrm>
                    <a:prstGeom prst="rect">
                      <a:avLst/>
                    </a:prstGeom>
                    <a:noFill/>
                    <a:ln>
                      <a:noFill/>
                    </a:ln>
                  </pic:spPr>
                </pic:pic>
              </a:graphicData>
            </a:graphic>
          </wp:inline>
        </w:drawing>
      </w:r>
    </w:p>
    <w:p>
      <w:pPr>
        <w:bidi w:val="0"/>
        <w:spacing w:line="360" w:lineRule="auto"/>
        <w:ind w:firstLine="420" w:firstLineChars="200"/>
        <w:rPr>
          <w:rFonts w:hint="eastAsia"/>
          <w:lang w:eastAsia="zh-CN"/>
        </w:rPr>
      </w:pPr>
      <w:r>
        <w:rPr>
          <w:rFonts w:hint="eastAsia"/>
          <w:lang w:eastAsia="zh-CN"/>
        </w:rPr>
        <w:t>点击操作中的“查看”询价记录详情里面显示对应评估人员回复的记录信息（如下图</w:t>
      </w:r>
      <w:r>
        <w:rPr>
          <w:rFonts w:hint="eastAsia"/>
          <w:lang w:val="en-US" w:eastAsia="zh-CN"/>
        </w:rPr>
        <w:t>3.3.2显示</w:t>
      </w:r>
      <w:r>
        <w:rPr>
          <w:rFonts w:hint="eastAsia"/>
          <w:lang w:eastAsia="zh-CN"/>
        </w:rPr>
        <w:t>）；</w:t>
      </w:r>
    </w:p>
    <w:p>
      <w:pPr>
        <w:bidi w:val="0"/>
        <w:spacing w:line="360" w:lineRule="auto"/>
      </w:pPr>
      <w:r>
        <w:drawing>
          <wp:inline distT="0" distB="0" distL="114300" distR="114300">
            <wp:extent cx="5266690" cy="2433320"/>
            <wp:effectExtent l="0" t="0" r="10160" b="508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0"/>
                    <a:stretch>
                      <a:fillRect/>
                    </a:stretch>
                  </pic:blipFill>
                  <pic:spPr>
                    <a:xfrm>
                      <a:off x="0" y="0"/>
                      <a:ext cx="5266690" cy="2433320"/>
                    </a:xfrm>
                    <a:prstGeom prst="rect">
                      <a:avLst/>
                    </a:prstGeom>
                    <a:noFill/>
                    <a:ln>
                      <a:noFill/>
                    </a:ln>
                  </pic:spPr>
                </pic:pic>
              </a:graphicData>
            </a:graphic>
          </wp:inline>
        </w:drawing>
      </w:r>
    </w:p>
    <w:p>
      <w:pPr>
        <w:bidi w:val="0"/>
        <w:spacing w:line="360" w:lineRule="auto"/>
        <w:ind w:firstLine="420" w:firstLineChars="200"/>
        <w:jc w:val="center"/>
        <w:rPr>
          <w:rFonts w:hint="eastAsia"/>
          <w:lang w:eastAsia="zh-CN"/>
        </w:rPr>
      </w:pPr>
      <w:r>
        <w:rPr>
          <w:rFonts w:hint="eastAsia"/>
          <w:lang w:eastAsia="zh-CN"/>
        </w:rPr>
        <w:t>图</w:t>
      </w:r>
      <w:r>
        <w:rPr>
          <w:rFonts w:hint="eastAsia"/>
          <w:lang w:val="en-US" w:eastAsia="zh-CN"/>
        </w:rPr>
        <w:t>3.3.2</w:t>
      </w:r>
    </w:p>
    <w:p>
      <w:pPr>
        <w:bidi w:val="0"/>
        <w:spacing w:line="360" w:lineRule="auto"/>
        <w:ind w:firstLine="420" w:firstLineChars="200"/>
        <w:rPr>
          <w:rFonts w:hint="eastAsia"/>
          <w:lang w:eastAsia="zh-CN"/>
        </w:rPr>
      </w:pPr>
      <w:r>
        <w:rPr>
          <w:rFonts w:hint="eastAsia"/>
          <w:lang w:eastAsia="zh-CN"/>
        </w:rPr>
        <w:t>点击操作中的“打印”，打印对应的询价单（如下图</w:t>
      </w:r>
      <w:r>
        <w:rPr>
          <w:rFonts w:hint="eastAsia"/>
          <w:lang w:val="en-US" w:eastAsia="zh-CN"/>
        </w:rPr>
        <w:t>3.3.3显示</w:t>
      </w:r>
      <w:r>
        <w:rPr>
          <w:rFonts w:hint="eastAsia"/>
          <w:lang w:eastAsia="zh-CN"/>
        </w:rPr>
        <w:t>）；</w:t>
      </w:r>
    </w:p>
    <w:p>
      <w:pPr>
        <w:bidi w:val="0"/>
        <w:spacing w:line="360" w:lineRule="auto"/>
      </w:pPr>
      <w:r>
        <w:drawing>
          <wp:inline distT="0" distB="0" distL="114300" distR="114300">
            <wp:extent cx="5265420" cy="2419350"/>
            <wp:effectExtent l="0" t="0" r="1143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1"/>
                    <a:stretch>
                      <a:fillRect/>
                    </a:stretch>
                  </pic:blipFill>
                  <pic:spPr>
                    <a:xfrm>
                      <a:off x="0" y="0"/>
                      <a:ext cx="5265420" cy="2419350"/>
                    </a:xfrm>
                    <a:prstGeom prst="rect">
                      <a:avLst/>
                    </a:prstGeom>
                    <a:noFill/>
                    <a:ln>
                      <a:noFill/>
                    </a:ln>
                  </pic:spPr>
                </pic:pic>
              </a:graphicData>
            </a:graphic>
          </wp:inline>
        </w:drawing>
      </w:r>
    </w:p>
    <w:p>
      <w:pPr>
        <w:bidi w:val="0"/>
        <w:spacing w:line="360" w:lineRule="auto"/>
        <w:jc w:val="center"/>
        <w:rPr>
          <w:rFonts w:hint="eastAsia"/>
          <w:lang w:val="en-US" w:eastAsia="zh-CN"/>
        </w:rPr>
      </w:pPr>
      <w:r>
        <w:rPr>
          <w:rFonts w:hint="eastAsia"/>
          <w:lang w:eastAsia="zh-CN"/>
        </w:rPr>
        <w:t>图</w:t>
      </w:r>
      <w:r>
        <w:rPr>
          <w:rFonts w:hint="eastAsia"/>
          <w:lang w:val="en-US" w:eastAsia="zh-CN"/>
        </w:rPr>
        <w:t>3.3.3</w:t>
      </w:r>
    </w:p>
    <w:p>
      <w:pPr>
        <w:pStyle w:val="3"/>
        <w:bidi w:val="0"/>
        <w:spacing w:line="360" w:lineRule="auto"/>
        <w:rPr>
          <w:rFonts w:hint="eastAsia"/>
          <w:lang w:val="en-US" w:eastAsia="zh-CN"/>
        </w:rPr>
      </w:pPr>
      <w:bookmarkStart w:id="18" w:name="_Toc20072"/>
      <w:r>
        <w:rPr>
          <w:rFonts w:hint="eastAsia"/>
          <w:lang w:val="en-US" w:eastAsia="zh-CN"/>
        </w:rPr>
        <w:t>3.4评估委托</w:t>
      </w:r>
      <w:bookmarkEnd w:id="18"/>
    </w:p>
    <w:p>
      <w:pPr>
        <w:bidi w:val="0"/>
        <w:spacing w:line="360" w:lineRule="auto"/>
        <w:ind w:firstLine="420" w:firstLineChars="200"/>
        <w:rPr>
          <w:rFonts w:hint="eastAsia"/>
          <w:lang w:eastAsia="zh-CN"/>
        </w:rPr>
      </w:pPr>
      <w:r>
        <w:rPr>
          <w:rFonts w:hint="eastAsia"/>
        </w:rPr>
        <w:t>展示自己银行关联的评估机构</w:t>
      </w:r>
      <w:r>
        <w:rPr>
          <w:rFonts w:hint="eastAsia"/>
          <w:lang w:eastAsia="zh-CN"/>
        </w:rPr>
        <w:t>，</w:t>
      </w:r>
      <w:r>
        <w:rPr>
          <w:rFonts w:hint="eastAsia"/>
          <w:lang w:val="en-US" w:eastAsia="zh-CN"/>
        </w:rPr>
        <w:t>客户可选择对应入围</w:t>
      </w:r>
      <w:r>
        <w:rPr>
          <w:rFonts w:hint="eastAsia"/>
          <w:lang w:eastAsia="zh-CN"/>
        </w:rPr>
        <w:t>评估机构进行委托派单；（如下图</w:t>
      </w:r>
      <w:r>
        <w:rPr>
          <w:rFonts w:hint="eastAsia"/>
          <w:lang w:val="en-US" w:eastAsia="zh-CN"/>
        </w:rPr>
        <w:t>3.4.1显示</w:t>
      </w:r>
      <w:r>
        <w:rPr>
          <w:rFonts w:hint="eastAsia"/>
          <w:lang w:eastAsia="zh-CN"/>
        </w:rPr>
        <w:t>）</w:t>
      </w:r>
    </w:p>
    <w:p>
      <w:pPr>
        <w:bidi w:val="0"/>
        <w:spacing w:line="360" w:lineRule="auto"/>
      </w:pPr>
      <w:r>
        <w:drawing>
          <wp:inline distT="0" distB="0" distL="114300" distR="114300">
            <wp:extent cx="5271135" cy="2378075"/>
            <wp:effectExtent l="0" t="0" r="5715" b="31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2"/>
                    <a:stretch>
                      <a:fillRect/>
                    </a:stretch>
                  </pic:blipFill>
                  <pic:spPr>
                    <a:xfrm>
                      <a:off x="0" y="0"/>
                      <a:ext cx="5271135" cy="2378075"/>
                    </a:xfrm>
                    <a:prstGeom prst="rect">
                      <a:avLst/>
                    </a:prstGeom>
                    <a:noFill/>
                    <a:ln>
                      <a:noFill/>
                    </a:ln>
                  </pic:spPr>
                </pic:pic>
              </a:graphicData>
            </a:graphic>
          </wp:inline>
        </w:drawing>
      </w:r>
    </w:p>
    <w:p>
      <w:pPr>
        <w:bidi w:val="0"/>
        <w:spacing w:line="360" w:lineRule="auto"/>
        <w:jc w:val="center"/>
      </w:pPr>
      <w:r>
        <w:rPr>
          <w:rFonts w:hint="eastAsia"/>
          <w:lang w:eastAsia="zh-CN"/>
        </w:rPr>
        <w:t>图</w:t>
      </w:r>
      <w:r>
        <w:rPr>
          <w:rFonts w:hint="eastAsia"/>
          <w:lang w:val="en-US" w:eastAsia="zh-CN"/>
        </w:rPr>
        <w:t>3.4.1</w:t>
      </w:r>
    </w:p>
    <w:p>
      <w:pPr>
        <w:bidi w:val="0"/>
        <w:spacing w:line="360" w:lineRule="auto"/>
        <w:ind w:firstLine="420" w:firstLineChars="200"/>
        <w:jc w:val="both"/>
        <w:rPr>
          <w:rFonts w:hint="eastAsia"/>
          <w:lang w:eastAsia="zh-CN"/>
        </w:rPr>
      </w:pPr>
      <w:r>
        <w:rPr>
          <w:rFonts w:hint="eastAsia"/>
          <w:lang w:eastAsia="zh-CN"/>
        </w:rPr>
        <w:t>选择对应的入围的机构，点击操作中的“填写”按钮，跳转至委托派单页面（如下图</w:t>
      </w:r>
      <w:r>
        <w:rPr>
          <w:rFonts w:hint="eastAsia"/>
          <w:lang w:val="en-US" w:eastAsia="zh-CN"/>
        </w:rPr>
        <w:t>3.4.2显示</w:t>
      </w:r>
      <w:r>
        <w:rPr>
          <w:rFonts w:hint="eastAsia"/>
          <w:lang w:eastAsia="zh-CN"/>
        </w:rPr>
        <w:t>）；</w:t>
      </w:r>
    </w:p>
    <w:p>
      <w:pPr>
        <w:bidi w:val="0"/>
        <w:spacing w:line="360" w:lineRule="auto"/>
        <w:jc w:val="center"/>
        <w:rPr>
          <w:rFonts w:hint="eastAsia"/>
          <w:lang w:eastAsia="zh-CN"/>
        </w:rPr>
      </w:pPr>
      <w:r>
        <w:rPr>
          <w:rFonts w:hint="eastAsia"/>
          <w:lang w:eastAsia="zh-CN"/>
        </w:rPr>
        <w:br w:type="textWrapping"/>
      </w:r>
      <w:r>
        <w:drawing>
          <wp:inline distT="0" distB="0" distL="114300" distR="114300">
            <wp:extent cx="5264785" cy="2921635"/>
            <wp:effectExtent l="0" t="0" r="12065" b="1206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3"/>
                    <a:stretch>
                      <a:fillRect/>
                    </a:stretch>
                  </pic:blipFill>
                  <pic:spPr>
                    <a:xfrm>
                      <a:off x="0" y="0"/>
                      <a:ext cx="5264785" cy="2921635"/>
                    </a:xfrm>
                    <a:prstGeom prst="rect">
                      <a:avLst/>
                    </a:prstGeom>
                    <a:noFill/>
                    <a:ln>
                      <a:noFill/>
                    </a:ln>
                  </pic:spPr>
                </pic:pic>
              </a:graphicData>
            </a:graphic>
          </wp:inline>
        </w:drawing>
      </w:r>
      <w:r>
        <w:rPr>
          <w:rFonts w:hint="eastAsia"/>
          <w:lang w:eastAsia="zh-CN"/>
        </w:rPr>
        <w:t>图</w:t>
      </w:r>
      <w:r>
        <w:rPr>
          <w:rFonts w:hint="eastAsia"/>
          <w:lang w:val="en-US" w:eastAsia="zh-CN"/>
        </w:rPr>
        <w:t>3.4.2</w:t>
      </w:r>
    </w:p>
    <w:p>
      <w:pPr>
        <w:pStyle w:val="3"/>
        <w:bidi w:val="0"/>
        <w:spacing w:line="360" w:lineRule="auto"/>
        <w:rPr>
          <w:rFonts w:hint="eastAsia"/>
          <w:lang w:val="en-US" w:eastAsia="zh-CN"/>
        </w:rPr>
      </w:pPr>
      <w:bookmarkStart w:id="19" w:name="_Toc11107"/>
      <w:r>
        <w:rPr>
          <w:rFonts w:hint="eastAsia"/>
          <w:lang w:val="en-US" w:eastAsia="zh-CN"/>
        </w:rPr>
        <w:t>3.5委托管理</w:t>
      </w:r>
      <w:bookmarkEnd w:id="19"/>
    </w:p>
    <w:p>
      <w:pPr>
        <w:bidi w:val="0"/>
        <w:spacing w:line="360" w:lineRule="auto"/>
        <w:ind w:firstLine="420" w:firstLineChars="200"/>
        <w:rPr>
          <w:rFonts w:hint="eastAsia"/>
          <w:lang w:val="en-US" w:eastAsia="zh-CN"/>
        </w:rPr>
      </w:pPr>
      <w:r>
        <w:rPr>
          <w:rFonts w:hint="eastAsia"/>
          <w:lang w:val="en-US" w:eastAsia="zh-CN"/>
        </w:rPr>
        <w:t>列表中显示客户派发给入围机构委托的订单，可以查看此委托单详情记录信息；做到实时进行跟踪和交流；（如下图3.5.1显示）</w:t>
      </w:r>
    </w:p>
    <w:p>
      <w:pPr>
        <w:bidi w:val="0"/>
        <w:spacing w:line="360" w:lineRule="auto"/>
      </w:pPr>
      <w:r>
        <w:drawing>
          <wp:inline distT="0" distB="0" distL="114300" distR="114300">
            <wp:extent cx="5272405" cy="2333625"/>
            <wp:effectExtent l="0" t="0" r="4445"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4"/>
                    <a:stretch>
                      <a:fillRect/>
                    </a:stretch>
                  </pic:blipFill>
                  <pic:spPr>
                    <a:xfrm>
                      <a:off x="0" y="0"/>
                      <a:ext cx="5272405" cy="2333625"/>
                    </a:xfrm>
                    <a:prstGeom prst="rect">
                      <a:avLst/>
                    </a:prstGeom>
                    <a:noFill/>
                    <a:ln>
                      <a:noFill/>
                    </a:ln>
                  </pic:spPr>
                </pic:pic>
              </a:graphicData>
            </a:graphic>
          </wp:inline>
        </w:drawing>
      </w:r>
    </w:p>
    <w:p>
      <w:pPr>
        <w:bidi w:val="0"/>
        <w:spacing w:line="360" w:lineRule="auto"/>
        <w:rPr>
          <w:rFonts w:hint="eastAsia"/>
          <w:lang w:val="en-US" w:eastAsia="zh-CN"/>
        </w:rPr>
      </w:pPr>
      <w:r>
        <w:rPr>
          <w:rFonts w:hint="eastAsia"/>
          <w:lang w:val="en-US" w:eastAsia="zh-CN"/>
        </w:rPr>
        <w:t>列表中点击操作中的“详情”显示对应的委托单详情信息；（如下图3.5.2显示）</w:t>
      </w:r>
    </w:p>
    <w:p>
      <w:pPr>
        <w:bidi w:val="0"/>
        <w:spacing w:line="360" w:lineRule="auto"/>
        <w:rPr>
          <w:rFonts w:hint="eastAsia"/>
          <w:lang w:val="en-US" w:eastAsia="zh-CN"/>
        </w:rPr>
      </w:pPr>
      <w:r>
        <w:drawing>
          <wp:inline distT="0" distB="0" distL="114300" distR="114300">
            <wp:extent cx="5438140" cy="2499360"/>
            <wp:effectExtent l="0" t="0" r="10160" b="1524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5"/>
                    <a:stretch>
                      <a:fillRect/>
                    </a:stretch>
                  </pic:blipFill>
                  <pic:spPr>
                    <a:xfrm>
                      <a:off x="0" y="0"/>
                      <a:ext cx="5438140" cy="2499360"/>
                    </a:xfrm>
                    <a:prstGeom prst="rect">
                      <a:avLst/>
                    </a:prstGeom>
                    <a:noFill/>
                    <a:ln>
                      <a:noFill/>
                    </a:ln>
                  </pic:spPr>
                </pic:pic>
              </a:graphicData>
            </a:graphic>
          </wp:inline>
        </w:drawing>
      </w:r>
    </w:p>
    <w:p>
      <w:pPr>
        <w:spacing w:line="360" w:lineRule="auto"/>
        <w:jc w:val="center"/>
        <w:rPr>
          <w:rFonts w:hint="eastAsia"/>
          <w:lang w:val="en-US" w:eastAsia="zh-CN"/>
        </w:rPr>
      </w:pPr>
      <w:r>
        <w:rPr>
          <w:rFonts w:hint="eastAsia"/>
          <w:lang w:val="en-US" w:eastAsia="zh-CN"/>
        </w:rPr>
        <w:t>图3.5.2</w:t>
      </w:r>
    </w:p>
    <w:p>
      <w:pPr>
        <w:spacing w:line="360" w:lineRule="auto"/>
        <w:jc w:val="both"/>
        <w:rPr>
          <w:rFonts w:hint="eastAsia"/>
          <w:lang w:val="en-US" w:eastAsia="zh-CN"/>
        </w:rPr>
      </w:pPr>
      <w:r>
        <w:rPr>
          <w:rFonts w:hint="eastAsia"/>
          <w:lang w:val="en-US" w:eastAsia="zh-CN"/>
        </w:rPr>
        <w:t>银行人员可以查看已完成委托的项目上链情况信息：点击操作中的“详情”可以查看到对应查勘图片上链信息、报告摘要上链信息、报告上链信息（如下图3.5.3显示）</w:t>
      </w:r>
    </w:p>
    <w:p>
      <w:pPr>
        <w:spacing w:line="360" w:lineRule="auto"/>
        <w:jc w:val="both"/>
      </w:pPr>
      <w:r>
        <w:drawing>
          <wp:inline distT="0" distB="0" distL="114300" distR="114300">
            <wp:extent cx="5259070" cy="2646045"/>
            <wp:effectExtent l="0" t="0" r="17780" b="190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6"/>
                    <a:stretch>
                      <a:fillRect/>
                    </a:stretch>
                  </pic:blipFill>
                  <pic:spPr>
                    <a:xfrm>
                      <a:off x="0" y="0"/>
                      <a:ext cx="5259070" cy="2646045"/>
                    </a:xfrm>
                    <a:prstGeom prst="rect">
                      <a:avLst/>
                    </a:prstGeom>
                    <a:noFill/>
                    <a:ln>
                      <a:noFill/>
                    </a:ln>
                  </pic:spPr>
                </pic:pic>
              </a:graphicData>
            </a:graphic>
          </wp:inline>
        </w:drawing>
      </w:r>
    </w:p>
    <w:p>
      <w:pPr>
        <w:spacing w:line="360" w:lineRule="auto"/>
        <w:jc w:val="center"/>
        <w:rPr>
          <w:rFonts w:hint="default" w:eastAsiaTheme="minorEastAsia"/>
          <w:lang w:val="en-US" w:eastAsia="zh-CN"/>
        </w:rPr>
      </w:pPr>
      <w:r>
        <w:rPr>
          <w:rFonts w:hint="eastAsia"/>
          <w:lang w:eastAsia="zh-CN"/>
        </w:rPr>
        <w:t>图</w:t>
      </w:r>
      <w:r>
        <w:rPr>
          <w:rFonts w:hint="eastAsia"/>
          <w:lang w:val="en-US" w:eastAsia="zh-CN"/>
        </w:rPr>
        <w:t>3.5.3</w:t>
      </w:r>
    </w:p>
    <w:p>
      <w:pPr>
        <w:spacing w:line="360" w:lineRule="auto"/>
        <w:jc w:val="both"/>
        <w:rPr>
          <w:rFonts w:hint="eastAsia"/>
          <w:lang w:val="en-US" w:eastAsia="zh-CN"/>
        </w:rPr>
      </w:pPr>
    </w:p>
    <w:p>
      <w:pPr>
        <w:pStyle w:val="2"/>
        <w:bidi w:val="0"/>
        <w:spacing w:line="360" w:lineRule="auto"/>
        <w:rPr>
          <w:rFonts w:hint="eastAsia"/>
          <w:lang w:val="en-US" w:eastAsia="zh-CN"/>
        </w:rPr>
      </w:pPr>
      <w:bookmarkStart w:id="20" w:name="_Toc12586"/>
      <w:r>
        <w:rPr>
          <w:rFonts w:hint="eastAsia"/>
          <w:lang w:val="en-US" w:eastAsia="zh-CN"/>
        </w:rPr>
        <w:t>4.决策审批</w:t>
      </w:r>
      <w:bookmarkEnd w:id="20"/>
    </w:p>
    <w:p>
      <w:pPr>
        <w:spacing w:line="360" w:lineRule="auto"/>
        <w:rPr>
          <w:rFonts w:hint="eastAsia"/>
          <w:lang w:val="en-US" w:eastAsia="zh-CN"/>
        </w:rPr>
      </w:pPr>
      <w:r>
        <w:rPr>
          <w:rFonts w:hint="eastAsia"/>
          <w:lang w:val="en-US" w:eastAsia="zh-CN"/>
        </w:rPr>
        <w:t>决策审批包括：押品管理、楼盘小区、成交案例功能；</w:t>
      </w:r>
    </w:p>
    <w:p>
      <w:pPr>
        <w:pStyle w:val="3"/>
        <w:bidi w:val="0"/>
        <w:spacing w:line="360" w:lineRule="auto"/>
        <w:rPr>
          <w:rFonts w:hint="eastAsia"/>
          <w:lang w:val="en-US" w:eastAsia="zh-CN"/>
        </w:rPr>
      </w:pPr>
      <w:bookmarkStart w:id="21" w:name="_Toc21345"/>
      <w:r>
        <w:rPr>
          <w:rFonts w:hint="eastAsia"/>
          <w:lang w:val="en-US" w:eastAsia="zh-CN"/>
        </w:rPr>
        <w:t>4.1押品管理</w:t>
      </w:r>
      <w:bookmarkEnd w:id="21"/>
    </w:p>
    <w:p>
      <w:pPr>
        <w:bidi w:val="0"/>
        <w:spacing w:line="360" w:lineRule="auto"/>
        <w:ind w:firstLine="420" w:firstLineChars="200"/>
        <w:jc w:val="left"/>
        <w:rPr>
          <w:rFonts w:hint="eastAsia"/>
          <w:lang w:eastAsia="zh-CN"/>
        </w:rPr>
      </w:pPr>
      <w:r>
        <w:rPr>
          <w:rFonts w:hint="eastAsia"/>
          <w:lang w:val="en-US" w:eastAsia="zh-CN"/>
        </w:rPr>
        <w:t>押品管理主要包括：新增银行押品、批量导入押品、对添加的押品进行批量复估；编辑\查看押品详情信息、查看复估记录信息、删除添加的押品数据；</w:t>
      </w:r>
      <w:r>
        <w:rPr>
          <w:rFonts w:hint="eastAsia"/>
          <w:lang w:eastAsia="zh-CN"/>
        </w:rPr>
        <w:t>批量复估为客户的巨大存量押品，利用智能地址匹配引擎，在辅助完成数据清洗的同时，高效进行当下时点的价格计算，实现押品的价格动态监测（如下图</w:t>
      </w:r>
      <w:r>
        <w:rPr>
          <w:rFonts w:hint="eastAsia"/>
          <w:lang w:val="en-US" w:eastAsia="zh-CN"/>
        </w:rPr>
        <w:t>4.1.1显示</w:t>
      </w:r>
      <w:r>
        <w:rPr>
          <w:rFonts w:hint="eastAsia"/>
          <w:lang w:eastAsia="zh-CN"/>
        </w:rPr>
        <w:t>）</w:t>
      </w:r>
    </w:p>
    <w:p>
      <w:pPr>
        <w:bidi w:val="0"/>
        <w:spacing w:line="360" w:lineRule="auto"/>
        <w:jc w:val="left"/>
      </w:pPr>
      <w:r>
        <w:drawing>
          <wp:inline distT="0" distB="0" distL="114300" distR="114300">
            <wp:extent cx="5269865" cy="2393950"/>
            <wp:effectExtent l="0" t="0" r="6985" b="63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7"/>
                    <a:stretch>
                      <a:fillRect/>
                    </a:stretch>
                  </pic:blipFill>
                  <pic:spPr>
                    <a:xfrm>
                      <a:off x="0" y="0"/>
                      <a:ext cx="5269865" cy="2393950"/>
                    </a:xfrm>
                    <a:prstGeom prst="rect">
                      <a:avLst/>
                    </a:prstGeom>
                    <a:noFill/>
                    <a:ln>
                      <a:noFill/>
                    </a:ln>
                  </pic:spPr>
                </pic:pic>
              </a:graphicData>
            </a:graphic>
          </wp:inline>
        </w:drawing>
      </w:r>
    </w:p>
    <w:p>
      <w:pPr>
        <w:bidi w:val="0"/>
        <w:spacing w:line="360" w:lineRule="auto"/>
        <w:jc w:val="center"/>
        <w:rPr>
          <w:rFonts w:hint="eastAsia"/>
          <w:lang w:eastAsia="zh-CN"/>
        </w:rPr>
      </w:pPr>
      <w:r>
        <w:rPr>
          <w:rFonts w:hint="eastAsia"/>
          <w:lang w:eastAsia="zh-CN"/>
        </w:rPr>
        <w:t>图</w:t>
      </w:r>
      <w:r>
        <w:rPr>
          <w:rFonts w:hint="eastAsia"/>
          <w:lang w:val="en-US" w:eastAsia="zh-CN"/>
        </w:rPr>
        <w:t>4.1.1</w:t>
      </w:r>
    </w:p>
    <w:p>
      <w:pPr>
        <w:pStyle w:val="4"/>
        <w:bidi w:val="0"/>
        <w:spacing w:line="360" w:lineRule="auto"/>
        <w:rPr>
          <w:rFonts w:hint="default"/>
          <w:lang w:val="en-US" w:eastAsia="zh-CN"/>
        </w:rPr>
      </w:pPr>
      <w:bookmarkStart w:id="22" w:name="_Toc29961"/>
      <w:r>
        <w:rPr>
          <w:rFonts w:hint="eastAsia"/>
          <w:lang w:val="en-US" w:eastAsia="zh-CN"/>
        </w:rPr>
        <w:t>4.1.1新增押品</w:t>
      </w:r>
      <w:bookmarkEnd w:id="22"/>
    </w:p>
    <w:p>
      <w:pPr>
        <w:bidi w:val="0"/>
        <w:spacing w:line="360" w:lineRule="auto"/>
        <w:ind w:firstLine="420" w:firstLineChars="200"/>
        <w:rPr>
          <w:rFonts w:hint="eastAsia" w:eastAsiaTheme="minorEastAsia"/>
          <w:lang w:eastAsia="zh-CN"/>
        </w:rPr>
      </w:pPr>
      <w:r>
        <w:rPr>
          <w:rFonts w:hint="eastAsia"/>
        </w:rPr>
        <w:t>点击页面上的</w:t>
      </w:r>
      <w:r>
        <w:rPr>
          <w:rFonts w:hint="eastAsia"/>
          <w:lang w:eastAsia="zh-CN"/>
        </w:rPr>
        <w:t>“新增”</w:t>
      </w:r>
      <w:r>
        <w:rPr>
          <w:rFonts w:hint="eastAsia"/>
        </w:rPr>
        <w:t>按钮，在弹窗中填写押品相关信息；</w:t>
      </w:r>
      <w:r>
        <w:rPr>
          <w:rFonts w:hint="eastAsia"/>
          <w:lang w:eastAsia="zh-CN"/>
        </w:rPr>
        <w:t>（如下图</w:t>
      </w:r>
      <w:r>
        <w:rPr>
          <w:rFonts w:hint="eastAsia"/>
          <w:lang w:val="en-US" w:eastAsia="zh-CN"/>
        </w:rPr>
        <w:t>4.1.1.1显示</w:t>
      </w:r>
      <w:r>
        <w:rPr>
          <w:rFonts w:hint="eastAsia"/>
          <w:lang w:eastAsia="zh-CN"/>
        </w:rPr>
        <w:t>）</w:t>
      </w:r>
    </w:p>
    <w:p>
      <w:pPr>
        <w:spacing w:line="360" w:lineRule="auto"/>
        <w:jc w:val="left"/>
      </w:pPr>
      <w:r>
        <w:rPr>
          <w:rFonts w:hint="eastAsia"/>
          <w:lang w:val="en-US" w:eastAsia="zh-CN"/>
        </w:rPr>
        <w:t xml:space="preserve"> 可以对添加的押品进行编辑详情信息，删除添加的押品；</w:t>
      </w:r>
      <w:r>
        <w:drawing>
          <wp:inline distT="0" distB="0" distL="114300" distR="114300">
            <wp:extent cx="5681980" cy="2740025"/>
            <wp:effectExtent l="0" t="0" r="13970"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8"/>
                    <a:stretch>
                      <a:fillRect/>
                    </a:stretch>
                  </pic:blipFill>
                  <pic:spPr>
                    <a:xfrm>
                      <a:off x="0" y="0"/>
                      <a:ext cx="5681980" cy="2740025"/>
                    </a:xfrm>
                    <a:prstGeom prst="rect">
                      <a:avLst/>
                    </a:prstGeom>
                    <a:noFill/>
                    <a:ln>
                      <a:noFill/>
                    </a:ln>
                  </pic:spPr>
                </pic:pic>
              </a:graphicData>
            </a:graphic>
          </wp:inline>
        </w:drawing>
      </w:r>
    </w:p>
    <w:p>
      <w:pPr>
        <w:spacing w:line="360" w:lineRule="auto"/>
        <w:jc w:val="center"/>
        <w:rPr>
          <w:rFonts w:hint="eastAsia"/>
          <w:lang w:val="en-US" w:eastAsia="zh-CN"/>
        </w:rPr>
      </w:pPr>
      <w:r>
        <w:rPr>
          <w:rFonts w:hint="eastAsia"/>
          <w:lang w:eastAsia="zh-CN"/>
        </w:rPr>
        <w:t>图</w:t>
      </w:r>
      <w:r>
        <w:rPr>
          <w:rFonts w:hint="eastAsia"/>
          <w:lang w:val="en-US" w:eastAsia="zh-CN"/>
        </w:rPr>
        <w:t>4.1.1.1</w:t>
      </w:r>
    </w:p>
    <w:p>
      <w:pPr>
        <w:pStyle w:val="4"/>
        <w:bidi w:val="0"/>
        <w:spacing w:line="360" w:lineRule="auto"/>
        <w:rPr>
          <w:rFonts w:hint="eastAsia"/>
          <w:lang w:val="en-US" w:eastAsia="zh-CN"/>
        </w:rPr>
      </w:pPr>
      <w:bookmarkStart w:id="23" w:name="_Toc20060"/>
      <w:r>
        <w:rPr>
          <w:rFonts w:hint="eastAsia"/>
          <w:lang w:val="en-US" w:eastAsia="zh-CN"/>
        </w:rPr>
        <w:t>4.1.2批量导入押品</w:t>
      </w:r>
      <w:bookmarkEnd w:id="23"/>
    </w:p>
    <w:p>
      <w:pPr>
        <w:spacing w:line="360" w:lineRule="auto"/>
        <w:ind w:firstLine="420" w:firstLineChars="200"/>
        <w:rPr>
          <w:rFonts w:hint="eastAsia"/>
          <w:lang w:val="en-US" w:eastAsia="zh-CN"/>
        </w:rPr>
      </w:pPr>
      <w:r>
        <w:rPr>
          <w:rFonts w:hint="eastAsia"/>
          <w:lang w:val="en-US" w:eastAsia="zh-CN"/>
        </w:rPr>
        <w:t>系统提供对应的导入押品模板，按照模板文档填写对应的押品信息，如图4.1.1点击列表上的“存量押品导入”信息；（如下图4.1.2.1显示）</w:t>
      </w:r>
    </w:p>
    <w:p>
      <w:pPr>
        <w:spacing w:line="360" w:lineRule="auto"/>
        <w:ind w:firstLine="420" w:firstLineChars="200"/>
      </w:pPr>
      <w:r>
        <w:drawing>
          <wp:inline distT="0" distB="0" distL="114300" distR="114300">
            <wp:extent cx="5516880" cy="2563495"/>
            <wp:effectExtent l="0" t="0" r="7620" b="825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9"/>
                    <a:stretch>
                      <a:fillRect/>
                    </a:stretch>
                  </pic:blipFill>
                  <pic:spPr>
                    <a:xfrm>
                      <a:off x="0" y="0"/>
                      <a:ext cx="5516880" cy="2563495"/>
                    </a:xfrm>
                    <a:prstGeom prst="rect">
                      <a:avLst/>
                    </a:prstGeom>
                    <a:noFill/>
                    <a:ln>
                      <a:noFill/>
                    </a:ln>
                  </pic:spPr>
                </pic:pic>
              </a:graphicData>
            </a:graphic>
          </wp:inline>
        </w:drawing>
      </w:r>
    </w:p>
    <w:p>
      <w:pPr>
        <w:spacing w:line="360" w:lineRule="auto"/>
        <w:ind w:firstLine="420" w:firstLineChars="200"/>
        <w:jc w:val="center"/>
      </w:pPr>
      <w:r>
        <w:rPr>
          <w:rFonts w:hint="eastAsia"/>
          <w:lang w:val="en-US" w:eastAsia="zh-CN"/>
        </w:rPr>
        <w:t>图4.1.2.1</w:t>
      </w:r>
    </w:p>
    <w:p>
      <w:pPr>
        <w:spacing w:line="360" w:lineRule="auto"/>
        <w:ind w:firstLine="420" w:firstLineChars="200"/>
        <w:rPr>
          <w:rFonts w:hint="eastAsia"/>
          <w:lang w:eastAsia="zh-CN"/>
        </w:rPr>
      </w:pPr>
      <w:r>
        <w:rPr>
          <w:rFonts w:hint="eastAsia"/>
          <w:lang w:eastAsia="zh-CN"/>
        </w:rPr>
        <w:t>点击“上传”按钮，页面弹出上传文件入口框；批量上传对应的押品，上传成功，列表中会显示出导入的押品数据记录；</w:t>
      </w:r>
    </w:p>
    <w:p>
      <w:pPr>
        <w:pStyle w:val="4"/>
        <w:bidi w:val="0"/>
        <w:spacing w:line="360" w:lineRule="auto"/>
        <w:rPr>
          <w:rFonts w:hint="eastAsia"/>
          <w:lang w:val="en-US" w:eastAsia="zh-CN"/>
        </w:rPr>
      </w:pPr>
      <w:bookmarkStart w:id="24" w:name="_Toc16878"/>
      <w:r>
        <w:rPr>
          <w:rFonts w:hint="eastAsia"/>
          <w:lang w:val="en-US" w:eastAsia="zh-CN"/>
        </w:rPr>
        <w:t>4.1.3批量复估</w:t>
      </w:r>
      <w:bookmarkEnd w:id="24"/>
    </w:p>
    <w:p>
      <w:pPr>
        <w:bidi w:val="0"/>
        <w:spacing w:line="360" w:lineRule="auto"/>
        <w:ind w:firstLine="420" w:firstLineChars="200"/>
        <w:rPr>
          <w:rFonts w:hint="eastAsia" w:eastAsiaTheme="minorEastAsia"/>
          <w:lang w:eastAsia="zh-CN"/>
        </w:rPr>
      </w:pPr>
      <w:r>
        <w:rPr>
          <w:rFonts w:hint="eastAsia"/>
          <w:lang w:val="en-US" w:eastAsia="zh-CN"/>
        </w:rPr>
        <w:t>针对新增\导入上传的押品进行批量复估，</w:t>
      </w:r>
      <w:r>
        <w:rPr>
          <w:rFonts w:hint="eastAsia"/>
        </w:rPr>
        <w:t>批量</w:t>
      </w:r>
      <w:r>
        <w:rPr>
          <w:rFonts w:hint="eastAsia"/>
          <w:lang w:eastAsia="zh-CN"/>
        </w:rPr>
        <w:t>勾选</w:t>
      </w:r>
      <w:r>
        <w:rPr>
          <w:rFonts w:hint="eastAsia"/>
        </w:rPr>
        <w:t>所要复估押品记录，</w:t>
      </w:r>
      <w:r>
        <w:rPr>
          <w:rFonts w:hint="eastAsia"/>
          <w:lang w:val="en-US" w:eastAsia="zh-CN"/>
        </w:rPr>
        <w:t>如图4.1.1</w:t>
      </w:r>
      <w:r>
        <w:rPr>
          <w:rFonts w:hint="eastAsia"/>
        </w:rPr>
        <w:t>点击</w:t>
      </w:r>
      <w:r>
        <w:rPr>
          <w:rFonts w:hint="eastAsia"/>
          <w:lang w:eastAsia="zh-CN"/>
        </w:rPr>
        <w:t>“</w:t>
      </w:r>
      <w:r>
        <w:rPr>
          <w:rFonts w:hint="eastAsia"/>
        </w:rPr>
        <w:t>批量复估</w:t>
      </w:r>
      <w:r>
        <w:rPr>
          <w:rFonts w:hint="eastAsia"/>
          <w:lang w:eastAsia="zh-CN"/>
        </w:rPr>
        <w:t>”</w:t>
      </w:r>
      <w:r>
        <w:rPr>
          <w:rFonts w:hint="eastAsia"/>
        </w:rPr>
        <w:t>，系统将自动对全部押品记录中的“云评价格”列数据进行重新计算；</w:t>
      </w:r>
      <w:r>
        <w:rPr>
          <w:rFonts w:hint="eastAsia"/>
          <w:lang w:eastAsia="zh-CN"/>
        </w:rPr>
        <w:t>（如下图</w:t>
      </w:r>
      <w:r>
        <w:rPr>
          <w:rFonts w:hint="eastAsia"/>
          <w:lang w:val="en-US" w:eastAsia="zh-CN"/>
        </w:rPr>
        <w:t>4.1.3.1显示</w:t>
      </w:r>
      <w:r>
        <w:rPr>
          <w:rFonts w:hint="eastAsia"/>
          <w:lang w:eastAsia="zh-CN"/>
        </w:rPr>
        <w:t>）</w:t>
      </w:r>
    </w:p>
    <w:p>
      <w:pPr>
        <w:spacing w:line="360" w:lineRule="auto"/>
      </w:pPr>
      <w:r>
        <w:drawing>
          <wp:inline distT="0" distB="0" distL="114300" distR="114300">
            <wp:extent cx="5510530" cy="2540635"/>
            <wp:effectExtent l="0" t="0" r="13970" b="1206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0"/>
                    <a:stretch>
                      <a:fillRect/>
                    </a:stretch>
                  </pic:blipFill>
                  <pic:spPr>
                    <a:xfrm>
                      <a:off x="0" y="0"/>
                      <a:ext cx="5510530" cy="2540635"/>
                    </a:xfrm>
                    <a:prstGeom prst="rect">
                      <a:avLst/>
                    </a:prstGeom>
                    <a:noFill/>
                    <a:ln>
                      <a:noFill/>
                    </a:ln>
                  </pic:spPr>
                </pic:pic>
              </a:graphicData>
            </a:graphic>
          </wp:inline>
        </w:drawing>
      </w:r>
    </w:p>
    <w:p>
      <w:pPr>
        <w:spacing w:line="360" w:lineRule="auto"/>
        <w:jc w:val="center"/>
        <w:rPr>
          <w:rFonts w:hint="eastAsia"/>
          <w:lang w:val="en-US" w:eastAsia="zh-CN"/>
        </w:rPr>
      </w:pPr>
      <w:r>
        <w:rPr>
          <w:rFonts w:hint="eastAsia"/>
          <w:lang w:eastAsia="zh-CN"/>
        </w:rPr>
        <w:t>图</w:t>
      </w:r>
      <w:r>
        <w:rPr>
          <w:rFonts w:hint="eastAsia"/>
          <w:lang w:val="en-US" w:eastAsia="zh-CN"/>
        </w:rPr>
        <w:t>4.1.3.1</w:t>
      </w:r>
    </w:p>
    <w:p>
      <w:pPr>
        <w:spacing w:line="360" w:lineRule="auto"/>
        <w:jc w:val="both"/>
        <w:rPr>
          <w:rFonts w:hint="eastAsia"/>
          <w:lang w:val="en-US" w:eastAsia="zh-CN"/>
        </w:rPr>
      </w:pPr>
      <w:r>
        <w:rPr>
          <w:rFonts w:hint="eastAsia"/>
          <w:lang w:val="en-US" w:eastAsia="zh-CN"/>
        </w:rPr>
        <w:t>操作中更新记录可以查看对应的押品复估记录，做到实时监测；</w:t>
      </w:r>
    </w:p>
    <w:p>
      <w:pPr>
        <w:pStyle w:val="4"/>
        <w:bidi w:val="0"/>
        <w:spacing w:line="360" w:lineRule="auto"/>
        <w:rPr>
          <w:rFonts w:hint="eastAsia"/>
          <w:lang w:val="en-US" w:eastAsia="zh-CN"/>
        </w:rPr>
      </w:pPr>
      <w:bookmarkStart w:id="25" w:name="_Toc31045"/>
      <w:r>
        <w:rPr>
          <w:rFonts w:hint="eastAsia"/>
          <w:lang w:val="en-US" w:eastAsia="zh-CN"/>
        </w:rPr>
        <w:t>4.1.4机构复估</w:t>
      </w:r>
      <w:bookmarkEnd w:id="25"/>
    </w:p>
    <w:p>
      <w:pPr>
        <w:spacing w:line="360" w:lineRule="auto"/>
        <w:ind w:firstLine="420" w:firstLineChars="200"/>
        <w:rPr>
          <w:rFonts w:hint="eastAsia"/>
          <w:lang w:val="en-US" w:eastAsia="zh-CN"/>
        </w:rPr>
      </w:pPr>
      <w:r>
        <w:rPr>
          <w:rFonts w:hint="eastAsia"/>
          <w:lang w:val="en-US" w:eastAsia="zh-CN"/>
        </w:rPr>
        <w:t>批量复估中，针对复估的押品复估价格存在争议 或者复估价格复估不出来的押品，发送给对应的机构，由机构评估师在线进行实事复估；</w:t>
      </w:r>
    </w:p>
    <w:p>
      <w:pPr>
        <w:spacing w:line="360" w:lineRule="auto"/>
        <w:ind w:firstLine="420" w:firstLineChars="200"/>
        <w:rPr>
          <w:rFonts w:hint="eastAsia"/>
          <w:lang w:val="en-US" w:eastAsia="zh-CN"/>
        </w:rPr>
      </w:pPr>
      <w:r>
        <w:rPr>
          <w:rFonts w:hint="eastAsia"/>
          <w:lang w:val="en-US" w:eastAsia="zh-CN"/>
        </w:rPr>
        <w:t>如图4.1.1图显示，勾选对应复估的押品，点击列表上的“机构复估”；选择发送给对应的机构（如下图4.1.4.1显示）</w:t>
      </w:r>
    </w:p>
    <w:p>
      <w:pPr>
        <w:spacing w:line="360" w:lineRule="auto"/>
      </w:pPr>
      <w:r>
        <w:drawing>
          <wp:inline distT="0" distB="0" distL="114300" distR="114300">
            <wp:extent cx="5534025" cy="2510155"/>
            <wp:effectExtent l="0" t="0" r="9525" b="444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1"/>
                    <a:stretch>
                      <a:fillRect/>
                    </a:stretch>
                  </pic:blipFill>
                  <pic:spPr>
                    <a:xfrm>
                      <a:off x="0" y="0"/>
                      <a:ext cx="5534025" cy="2510155"/>
                    </a:xfrm>
                    <a:prstGeom prst="rect">
                      <a:avLst/>
                    </a:prstGeom>
                    <a:noFill/>
                    <a:ln>
                      <a:noFill/>
                    </a:ln>
                  </pic:spPr>
                </pic:pic>
              </a:graphicData>
            </a:graphic>
          </wp:inline>
        </w:drawing>
      </w:r>
    </w:p>
    <w:p>
      <w:pPr>
        <w:spacing w:line="360" w:lineRule="auto"/>
        <w:ind w:firstLine="420" w:firstLineChars="200"/>
        <w:jc w:val="center"/>
        <w:rPr>
          <w:rFonts w:hint="eastAsia"/>
          <w:lang w:val="en-US" w:eastAsia="zh-CN"/>
        </w:rPr>
      </w:pPr>
      <w:r>
        <w:rPr>
          <w:rFonts w:hint="eastAsia"/>
          <w:lang w:val="en-US" w:eastAsia="zh-CN"/>
        </w:rPr>
        <w:t>图4.1.4.1</w:t>
      </w:r>
    </w:p>
    <w:p>
      <w:pPr>
        <w:pStyle w:val="3"/>
        <w:bidi w:val="0"/>
        <w:spacing w:line="360" w:lineRule="auto"/>
        <w:rPr>
          <w:rFonts w:hint="eastAsia"/>
          <w:lang w:val="en-US" w:eastAsia="zh-CN"/>
        </w:rPr>
      </w:pPr>
      <w:bookmarkStart w:id="26" w:name="_Toc11023"/>
      <w:r>
        <w:rPr>
          <w:rFonts w:hint="eastAsia"/>
          <w:lang w:val="en-US" w:eastAsia="zh-CN"/>
        </w:rPr>
        <w:t>4.2楼盘小区</w:t>
      </w:r>
      <w:bookmarkEnd w:id="26"/>
    </w:p>
    <w:p>
      <w:pPr>
        <w:bidi w:val="0"/>
        <w:spacing w:line="360" w:lineRule="auto"/>
        <w:ind w:firstLine="420" w:firstLineChars="200"/>
        <w:rPr>
          <w:rFonts w:hint="eastAsia"/>
          <w:lang w:eastAsia="zh-CN"/>
        </w:rPr>
      </w:pPr>
      <w:r>
        <w:rPr>
          <w:rFonts w:hint="eastAsia"/>
        </w:rPr>
        <w:t>根据</w:t>
      </w:r>
      <w:r>
        <w:rPr>
          <w:rFonts w:hint="eastAsia"/>
          <w:lang w:eastAsia="zh-CN"/>
        </w:rPr>
        <w:t>客户</w:t>
      </w:r>
      <w:r>
        <w:rPr>
          <w:rFonts w:hint="eastAsia"/>
        </w:rPr>
        <w:t>所在省份和城市或用户所选其它省份城市显示当地小区的挂牌均价信息</w:t>
      </w:r>
      <w:r>
        <w:rPr>
          <w:rFonts w:hint="eastAsia"/>
          <w:lang w:eastAsia="zh-CN"/>
        </w:rPr>
        <w:t>（如下图</w:t>
      </w:r>
      <w:r>
        <w:rPr>
          <w:rFonts w:hint="eastAsia"/>
          <w:lang w:val="en-US" w:eastAsia="zh-CN"/>
        </w:rPr>
        <w:t>4.2.1显示</w:t>
      </w:r>
      <w:r>
        <w:rPr>
          <w:rFonts w:hint="eastAsia"/>
          <w:lang w:eastAsia="zh-CN"/>
        </w:rPr>
        <w:t>）</w:t>
      </w:r>
    </w:p>
    <w:p>
      <w:pPr>
        <w:bidi w:val="0"/>
        <w:spacing w:line="360" w:lineRule="auto"/>
      </w:pPr>
      <w:r>
        <w:drawing>
          <wp:inline distT="0" distB="0" distL="114300" distR="114300">
            <wp:extent cx="5679440" cy="1842770"/>
            <wp:effectExtent l="0" t="0" r="16510" b="508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2"/>
                    <a:stretch>
                      <a:fillRect/>
                    </a:stretch>
                  </pic:blipFill>
                  <pic:spPr>
                    <a:xfrm>
                      <a:off x="0" y="0"/>
                      <a:ext cx="5679440" cy="1842770"/>
                    </a:xfrm>
                    <a:prstGeom prst="rect">
                      <a:avLst/>
                    </a:prstGeom>
                    <a:noFill/>
                    <a:ln>
                      <a:noFill/>
                    </a:ln>
                  </pic:spPr>
                </pic:pic>
              </a:graphicData>
            </a:graphic>
          </wp:inline>
        </w:drawing>
      </w:r>
    </w:p>
    <w:p>
      <w:pPr>
        <w:bidi w:val="0"/>
        <w:spacing w:line="360" w:lineRule="auto"/>
        <w:jc w:val="center"/>
        <w:rPr>
          <w:rFonts w:hint="eastAsia"/>
          <w:lang w:val="en-US" w:eastAsia="zh-CN"/>
        </w:rPr>
      </w:pPr>
      <w:r>
        <w:rPr>
          <w:rFonts w:hint="eastAsia"/>
          <w:lang w:eastAsia="zh-CN"/>
        </w:rPr>
        <w:t>图</w:t>
      </w:r>
      <w:r>
        <w:rPr>
          <w:rFonts w:hint="eastAsia"/>
          <w:lang w:val="en-US" w:eastAsia="zh-CN"/>
        </w:rPr>
        <w:t>4.2.1</w:t>
      </w:r>
    </w:p>
    <w:p>
      <w:pPr>
        <w:bidi w:val="0"/>
        <w:spacing w:line="360" w:lineRule="auto"/>
        <w:ind w:firstLine="420" w:firstLineChars="200"/>
        <w:rPr>
          <w:rFonts w:hint="eastAsia"/>
          <w:lang w:eastAsia="zh-CN"/>
        </w:rPr>
      </w:pPr>
      <w:r>
        <w:rPr>
          <w:rFonts w:hint="eastAsia"/>
          <w:lang w:val="en-US" w:eastAsia="zh-CN"/>
        </w:rPr>
        <w:t>如图4.2.1显示，选择任一楼盘小区数据，点击操作中“详情”按钮，查看此小区详情信息；</w:t>
      </w:r>
      <w:r>
        <w:rPr>
          <w:rFonts w:hint="eastAsia"/>
        </w:rPr>
        <w:t>在详情页中可</w:t>
      </w:r>
      <w:r>
        <w:rPr>
          <w:rFonts w:hint="eastAsia"/>
          <w:lang w:eastAsia="zh-CN"/>
        </w:rPr>
        <w:t>对其小区成交案例、价格走势、公共配套、交通、教育等禀赋资源给出指数。（如下图</w:t>
      </w:r>
      <w:r>
        <w:rPr>
          <w:rFonts w:hint="eastAsia"/>
          <w:lang w:val="en-US" w:eastAsia="zh-CN"/>
        </w:rPr>
        <w:t>4.2.2显示</w:t>
      </w:r>
      <w:r>
        <w:rPr>
          <w:rFonts w:hint="eastAsia"/>
          <w:lang w:eastAsia="zh-CN"/>
        </w:rPr>
        <w:t>）</w:t>
      </w:r>
    </w:p>
    <w:p>
      <w:pPr>
        <w:bidi w:val="0"/>
        <w:spacing w:line="360" w:lineRule="auto"/>
      </w:pPr>
      <w:r>
        <w:drawing>
          <wp:inline distT="0" distB="0" distL="114300" distR="114300">
            <wp:extent cx="5655945" cy="2589530"/>
            <wp:effectExtent l="0" t="0" r="1905" b="127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3"/>
                    <a:stretch>
                      <a:fillRect/>
                    </a:stretch>
                  </pic:blipFill>
                  <pic:spPr>
                    <a:xfrm>
                      <a:off x="0" y="0"/>
                      <a:ext cx="5655945" cy="2589530"/>
                    </a:xfrm>
                    <a:prstGeom prst="rect">
                      <a:avLst/>
                    </a:prstGeom>
                    <a:noFill/>
                    <a:ln>
                      <a:noFill/>
                    </a:ln>
                  </pic:spPr>
                </pic:pic>
              </a:graphicData>
            </a:graphic>
          </wp:inline>
        </w:drawing>
      </w:r>
    </w:p>
    <w:p>
      <w:pPr>
        <w:bidi w:val="0"/>
        <w:spacing w:line="360" w:lineRule="auto"/>
        <w:jc w:val="center"/>
      </w:pPr>
      <w:r>
        <w:rPr>
          <w:rFonts w:hint="eastAsia"/>
          <w:lang w:eastAsia="zh-CN"/>
        </w:rPr>
        <w:t>图</w:t>
      </w:r>
      <w:r>
        <w:rPr>
          <w:rFonts w:hint="eastAsia"/>
          <w:lang w:val="en-US" w:eastAsia="zh-CN"/>
        </w:rPr>
        <w:t>4.2.2</w:t>
      </w:r>
    </w:p>
    <w:p>
      <w:pPr>
        <w:bidi w:val="0"/>
        <w:spacing w:line="360" w:lineRule="auto"/>
      </w:pPr>
    </w:p>
    <w:p>
      <w:pPr>
        <w:pStyle w:val="3"/>
        <w:bidi w:val="0"/>
        <w:spacing w:line="360" w:lineRule="auto"/>
        <w:rPr>
          <w:rFonts w:hint="eastAsia"/>
          <w:lang w:val="en-US" w:eastAsia="zh-CN"/>
        </w:rPr>
      </w:pPr>
      <w:bookmarkStart w:id="27" w:name="_Toc9329"/>
      <w:r>
        <w:rPr>
          <w:rFonts w:hint="eastAsia"/>
          <w:lang w:val="en-US" w:eastAsia="zh-CN"/>
        </w:rPr>
        <w:t>4.3成交案例</w:t>
      </w:r>
      <w:bookmarkEnd w:id="27"/>
    </w:p>
    <w:p>
      <w:pPr>
        <w:bidi w:val="0"/>
        <w:spacing w:line="360" w:lineRule="auto"/>
        <w:ind w:firstLine="420" w:firstLineChars="200"/>
        <w:rPr>
          <w:rFonts w:hint="eastAsia"/>
          <w:lang w:eastAsia="zh-CN"/>
        </w:rPr>
      </w:pPr>
      <w:r>
        <w:rPr>
          <w:rFonts w:hint="eastAsia"/>
        </w:rPr>
        <w:t>根据用户所在省份和城市或所选其它省份城市显示当地小区的成交案例信息</w:t>
      </w:r>
      <w:r>
        <w:rPr>
          <w:rFonts w:hint="eastAsia"/>
          <w:lang w:eastAsia="zh-CN"/>
        </w:rPr>
        <w:t>；（如下图</w:t>
      </w:r>
      <w:r>
        <w:rPr>
          <w:rFonts w:hint="eastAsia"/>
          <w:lang w:val="en-US" w:eastAsia="zh-CN"/>
        </w:rPr>
        <w:t>4.3.1显示</w:t>
      </w:r>
      <w:r>
        <w:rPr>
          <w:rFonts w:hint="eastAsia"/>
          <w:lang w:eastAsia="zh-CN"/>
        </w:rPr>
        <w:t>）</w:t>
      </w:r>
    </w:p>
    <w:p>
      <w:pPr>
        <w:bidi w:val="0"/>
        <w:spacing w:line="360" w:lineRule="auto"/>
      </w:pPr>
      <w:r>
        <w:drawing>
          <wp:inline distT="0" distB="0" distL="114300" distR="114300">
            <wp:extent cx="5269865" cy="2520950"/>
            <wp:effectExtent l="0" t="0" r="6985" b="12700"/>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pic:cNvPicPr>
                  </pic:nvPicPr>
                  <pic:blipFill>
                    <a:blip r:embed="rId24"/>
                    <a:stretch>
                      <a:fillRect/>
                    </a:stretch>
                  </pic:blipFill>
                  <pic:spPr>
                    <a:xfrm>
                      <a:off x="0" y="0"/>
                      <a:ext cx="5269865" cy="2520950"/>
                    </a:xfrm>
                    <a:prstGeom prst="rect">
                      <a:avLst/>
                    </a:prstGeom>
                    <a:noFill/>
                    <a:ln>
                      <a:noFill/>
                    </a:ln>
                  </pic:spPr>
                </pic:pic>
              </a:graphicData>
            </a:graphic>
          </wp:inline>
        </w:drawing>
      </w:r>
    </w:p>
    <w:p>
      <w:pPr>
        <w:bidi w:val="0"/>
        <w:spacing w:line="360" w:lineRule="auto"/>
        <w:jc w:val="center"/>
        <w:rPr>
          <w:rFonts w:hint="eastAsia"/>
          <w:lang w:eastAsia="zh-CN"/>
        </w:rPr>
      </w:pPr>
      <w:r>
        <w:rPr>
          <w:rFonts w:hint="eastAsia"/>
          <w:lang w:eastAsia="zh-CN"/>
        </w:rPr>
        <w:t>图</w:t>
      </w:r>
      <w:r>
        <w:rPr>
          <w:rFonts w:hint="eastAsia"/>
          <w:lang w:val="en-US" w:eastAsia="zh-CN"/>
        </w:rPr>
        <w:t>4.3.1</w:t>
      </w:r>
    </w:p>
    <w:p>
      <w:pPr>
        <w:pStyle w:val="2"/>
        <w:numPr>
          <w:ilvl w:val="0"/>
          <w:numId w:val="0"/>
        </w:numPr>
        <w:bidi w:val="0"/>
        <w:spacing w:line="360" w:lineRule="auto"/>
        <w:ind w:leftChars="0"/>
        <w:jc w:val="left"/>
        <w:rPr>
          <w:rFonts w:hint="eastAsia"/>
          <w:lang w:val="en-US" w:eastAsia="zh-CN"/>
        </w:rPr>
      </w:pPr>
      <w:bookmarkStart w:id="28" w:name="_Toc2425"/>
      <w:r>
        <w:rPr>
          <w:rFonts w:hint="eastAsia"/>
          <w:lang w:val="en-US" w:eastAsia="zh-CN"/>
        </w:rPr>
        <w:t>5.贷后管理</w:t>
      </w:r>
      <w:bookmarkEnd w:id="28"/>
    </w:p>
    <w:p>
      <w:pPr>
        <w:bidi w:val="0"/>
        <w:spacing w:line="360" w:lineRule="auto"/>
        <w:ind w:firstLine="420" w:firstLineChars="200"/>
        <w:rPr>
          <w:rFonts w:hint="eastAsia"/>
          <w:lang w:val="en-US" w:eastAsia="zh-CN"/>
        </w:rPr>
      </w:pPr>
      <w:r>
        <w:rPr>
          <w:rFonts w:hint="eastAsia"/>
          <w:lang w:val="en-US" w:eastAsia="zh-CN"/>
        </w:rPr>
        <w:t>贷后管理包括：押品地图、风险监控功能；</w:t>
      </w:r>
    </w:p>
    <w:p>
      <w:pPr>
        <w:pStyle w:val="3"/>
        <w:bidi w:val="0"/>
        <w:spacing w:line="360" w:lineRule="auto"/>
        <w:rPr>
          <w:rFonts w:hint="eastAsia"/>
          <w:lang w:val="en-US" w:eastAsia="zh-CN"/>
        </w:rPr>
      </w:pPr>
      <w:bookmarkStart w:id="29" w:name="_Toc11912"/>
      <w:r>
        <w:rPr>
          <w:rFonts w:hint="eastAsia"/>
          <w:lang w:val="en-US" w:eastAsia="zh-CN"/>
        </w:rPr>
        <w:t>5.1押品地图</w:t>
      </w:r>
      <w:bookmarkEnd w:id="29"/>
    </w:p>
    <w:p>
      <w:pPr>
        <w:bidi w:val="0"/>
        <w:spacing w:line="360" w:lineRule="auto"/>
        <w:ind w:firstLine="420" w:firstLineChars="200"/>
        <w:rPr>
          <w:rFonts w:hint="eastAsia"/>
          <w:lang w:eastAsia="zh-CN"/>
        </w:rPr>
      </w:pPr>
      <w:r>
        <w:rPr>
          <w:rFonts w:hint="eastAsia"/>
        </w:rPr>
        <w:t>系统会自动获取用户当前所在地理位置并在地图上</w:t>
      </w:r>
      <w:r>
        <w:rPr>
          <w:rFonts w:hint="eastAsia"/>
          <w:lang w:eastAsia="zh-CN"/>
        </w:rPr>
        <w:t>；</w:t>
      </w:r>
      <w:r>
        <w:rPr>
          <w:rFonts w:hint="eastAsia"/>
        </w:rPr>
        <w:t>展示押品分布的热力图，风控人员和决策管理者可通过押品分布，可以提前了解到押品集中度的风险；</w:t>
      </w:r>
      <w:r>
        <w:rPr>
          <w:rFonts w:hint="eastAsia"/>
          <w:lang w:eastAsia="zh-CN"/>
        </w:rPr>
        <w:t>（如下图</w:t>
      </w:r>
      <w:r>
        <w:rPr>
          <w:rFonts w:hint="eastAsia"/>
          <w:lang w:val="en-US" w:eastAsia="zh-CN"/>
        </w:rPr>
        <w:t>5.1.1显示</w:t>
      </w:r>
      <w:r>
        <w:rPr>
          <w:rFonts w:hint="eastAsia"/>
          <w:lang w:eastAsia="zh-CN"/>
        </w:rPr>
        <w:t>）</w:t>
      </w:r>
    </w:p>
    <w:p>
      <w:pPr>
        <w:bidi w:val="0"/>
        <w:spacing w:line="360" w:lineRule="auto"/>
      </w:pPr>
      <w:r>
        <w:drawing>
          <wp:inline distT="0" distB="0" distL="114300" distR="114300">
            <wp:extent cx="5268595" cy="2392045"/>
            <wp:effectExtent l="0" t="0" r="8255" b="8255"/>
            <wp:docPr id="2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pic:cNvPicPr>
                      <a:picLocks noChangeAspect="1"/>
                    </pic:cNvPicPr>
                  </pic:nvPicPr>
                  <pic:blipFill>
                    <a:blip r:embed="rId25"/>
                    <a:stretch>
                      <a:fillRect/>
                    </a:stretch>
                  </pic:blipFill>
                  <pic:spPr>
                    <a:xfrm>
                      <a:off x="0" y="0"/>
                      <a:ext cx="5268595" cy="2392045"/>
                    </a:xfrm>
                    <a:prstGeom prst="rect">
                      <a:avLst/>
                    </a:prstGeom>
                    <a:noFill/>
                    <a:ln>
                      <a:noFill/>
                    </a:ln>
                  </pic:spPr>
                </pic:pic>
              </a:graphicData>
            </a:graphic>
          </wp:inline>
        </w:drawing>
      </w:r>
    </w:p>
    <w:p>
      <w:pPr>
        <w:bidi w:val="0"/>
        <w:spacing w:line="360" w:lineRule="auto"/>
        <w:jc w:val="center"/>
        <w:rPr>
          <w:rFonts w:hint="eastAsia"/>
          <w:lang w:eastAsia="zh-CN"/>
        </w:rPr>
      </w:pPr>
      <w:r>
        <w:rPr>
          <w:rFonts w:hint="eastAsia"/>
          <w:lang w:eastAsia="zh-CN"/>
        </w:rPr>
        <w:t>图</w:t>
      </w:r>
      <w:r>
        <w:rPr>
          <w:rFonts w:hint="eastAsia"/>
          <w:lang w:val="en-US" w:eastAsia="zh-CN"/>
        </w:rPr>
        <w:t>5.1.1</w:t>
      </w:r>
    </w:p>
    <w:p>
      <w:pPr>
        <w:bidi w:val="0"/>
        <w:spacing w:line="360" w:lineRule="auto"/>
        <w:rPr>
          <w:rFonts w:hint="eastAsia" w:eastAsiaTheme="minorEastAsia"/>
          <w:lang w:val="en-US" w:eastAsia="zh-CN"/>
        </w:rPr>
      </w:pPr>
      <w:r>
        <w:rPr>
          <w:rFonts w:hint="eastAsia"/>
        </w:rPr>
        <w:t>通过</w:t>
      </w:r>
      <w:r>
        <w:rPr>
          <w:rFonts w:hint="eastAsia"/>
          <w:lang w:eastAsia="zh-CN"/>
        </w:rPr>
        <w:t>缩放地图大小比例，可以显示出对应的押品在地图上分布区域</w:t>
      </w:r>
      <w:r>
        <w:rPr>
          <w:rFonts w:hint="eastAsia"/>
        </w:rPr>
        <w:t>，</w:t>
      </w:r>
      <w:r>
        <w:rPr>
          <w:rFonts w:hint="eastAsia"/>
          <w:lang w:eastAsia="zh-CN"/>
        </w:rPr>
        <w:t>点击地图上押品小区名称</w:t>
      </w:r>
      <w:r>
        <w:rPr>
          <w:rFonts w:hint="eastAsia"/>
        </w:rPr>
        <w:t>可以查看具体的押品详情。</w:t>
      </w:r>
      <w:r>
        <w:rPr>
          <w:rFonts w:hint="eastAsia"/>
          <w:lang w:eastAsia="zh-CN"/>
        </w:rPr>
        <w:t>（如下图</w:t>
      </w:r>
      <w:r>
        <w:rPr>
          <w:rFonts w:hint="eastAsia"/>
          <w:lang w:val="en-US" w:eastAsia="zh-CN"/>
        </w:rPr>
        <w:t>5.1.2、5.1.3显示</w:t>
      </w:r>
      <w:r>
        <w:rPr>
          <w:rFonts w:hint="eastAsia"/>
          <w:lang w:eastAsia="zh-CN"/>
        </w:rPr>
        <w:t>）</w:t>
      </w:r>
    </w:p>
    <w:p>
      <w:pPr>
        <w:spacing w:line="360" w:lineRule="auto"/>
      </w:pPr>
      <w:r>
        <w:drawing>
          <wp:inline distT="0" distB="0" distL="114300" distR="114300">
            <wp:extent cx="5264785" cy="2430780"/>
            <wp:effectExtent l="0" t="0" r="12065" b="7620"/>
            <wp:docPr id="2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pic:cNvPicPr>
                      <a:picLocks noChangeAspect="1"/>
                    </pic:cNvPicPr>
                  </pic:nvPicPr>
                  <pic:blipFill>
                    <a:blip r:embed="rId26"/>
                    <a:stretch>
                      <a:fillRect/>
                    </a:stretch>
                  </pic:blipFill>
                  <pic:spPr>
                    <a:xfrm>
                      <a:off x="0" y="0"/>
                      <a:ext cx="5264785" cy="2430780"/>
                    </a:xfrm>
                    <a:prstGeom prst="rect">
                      <a:avLst/>
                    </a:prstGeom>
                    <a:noFill/>
                    <a:ln>
                      <a:noFill/>
                    </a:ln>
                  </pic:spPr>
                </pic:pic>
              </a:graphicData>
            </a:graphic>
          </wp:inline>
        </w:drawing>
      </w:r>
    </w:p>
    <w:p>
      <w:pPr>
        <w:spacing w:line="360" w:lineRule="auto"/>
        <w:jc w:val="center"/>
        <w:rPr>
          <w:rFonts w:hint="eastAsia"/>
          <w:lang w:val="en-US" w:eastAsia="zh-CN"/>
        </w:rPr>
      </w:pPr>
      <w:r>
        <w:rPr>
          <w:rFonts w:hint="eastAsia"/>
          <w:lang w:eastAsia="zh-CN"/>
        </w:rPr>
        <w:t>图</w:t>
      </w:r>
      <w:r>
        <w:rPr>
          <w:rFonts w:hint="eastAsia"/>
          <w:lang w:val="en-US" w:eastAsia="zh-CN"/>
        </w:rPr>
        <w:t>5.1.2</w:t>
      </w:r>
    </w:p>
    <w:p>
      <w:pPr>
        <w:spacing w:line="360" w:lineRule="auto"/>
        <w:jc w:val="center"/>
      </w:pPr>
      <w:r>
        <w:drawing>
          <wp:inline distT="0" distB="0" distL="114300" distR="114300">
            <wp:extent cx="5273675" cy="2374265"/>
            <wp:effectExtent l="0" t="0" r="3175" b="6985"/>
            <wp:docPr id="2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pic:cNvPicPr>
                      <a:picLocks noChangeAspect="1"/>
                    </pic:cNvPicPr>
                  </pic:nvPicPr>
                  <pic:blipFill>
                    <a:blip r:embed="rId27"/>
                    <a:stretch>
                      <a:fillRect/>
                    </a:stretch>
                  </pic:blipFill>
                  <pic:spPr>
                    <a:xfrm>
                      <a:off x="0" y="0"/>
                      <a:ext cx="5273675" cy="2374265"/>
                    </a:xfrm>
                    <a:prstGeom prst="rect">
                      <a:avLst/>
                    </a:prstGeom>
                    <a:noFill/>
                    <a:ln>
                      <a:noFill/>
                    </a:ln>
                  </pic:spPr>
                </pic:pic>
              </a:graphicData>
            </a:graphic>
          </wp:inline>
        </w:drawing>
      </w:r>
    </w:p>
    <w:p>
      <w:pPr>
        <w:spacing w:line="360" w:lineRule="auto"/>
        <w:jc w:val="center"/>
        <w:rPr>
          <w:rFonts w:hint="eastAsia"/>
          <w:lang w:val="en-US" w:eastAsia="zh-CN"/>
        </w:rPr>
      </w:pPr>
      <w:r>
        <w:rPr>
          <w:rFonts w:hint="eastAsia"/>
          <w:lang w:eastAsia="zh-CN"/>
        </w:rPr>
        <w:t>图</w:t>
      </w:r>
      <w:r>
        <w:rPr>
          <w:rFonts w:hint="eastAsia"/>
          <w:lang w:val="en-US" w:eastAsia="zh-CN"/>
        </w:rPr>
        <w:t>5.1.3</w:t>
      </w:r>
    </w:p>
    <w:p>
      <w:pPr>
        <w:spacing w:line="360" w:lineRule="auto"/>
        <w:ind w:firstLine="420" w:firstLineChars="200"/>
        <w:jc w:val="left"/>
        <w:rPr>
          <w:rFonts w:hint="eastAsia"/>
          <w:lang w:eastAsia="zh-CN"/>
        </w:rPr>
      </w:pPr>
      <w:r>
        <w:rPr>
          <w:rFonts w:hint="eastAsia"/>
          <w:lang w:val="en-US" w:eastAsia="zh-CN"/>
        </w:rPr>
        <w:t>点击押品小区名称可以进入查看此小区详情信息，</w:t>
      </w:r>
      <w:r>
        <w:rPr>
          <w:rFonts w:hint="eastAsia"/>
        </w:rPr>
        <w:t>在详情页中可</w:t>
      </w:r>
      <w:r>
        <w:rPr>
          <w:rFonts w:hint="eastAsia"/>
          <w:lang w:eastAsia="zh-CN"/>
        </w:rPr>
        <w:t>对其小区成交案例、价格走势、公共配套、交通、教育等禀赋资源给出指数；</w:t>
      </w:r>
    </w:p>
    <w:p>
      <w:pPr>
        <w:pStyle w:val="3"/>
        <w:bidi w:val="0"/>
        <w:spacing w:line="360" w:lineRule="auto"/>
        <w:rPr>
          <w:rFonts w:hint="eastAsia"/>
          <w:lang w:val="en-US" w:eastAsia="zh-CN"/>
        </w:rPr>
      </w:pPr>
      <w:bookmarkStart w:id="30" w:name="_Toc11226"/>
      <w:r>
        <w:rPr>
          <w:rFonts w:hint="eastAsia"/>
          <w:lang w:val="en-US" w:eastAsia="zh-CN"/>
        </w:rPr>
        <w:t>5.2风险监控</w:t>
      </w:r>
      <w:bookmarkEnd w:id="30"/>
    </w:p>
    <w:p>
      <w:pPr>
        <w:bidi w:val="0"/>
        <w:spacing w:line="360" w:lineRule="auto"/>
        <w:rPr>
          <w:rFonts w:hint="eastAsia"/>
          <w:lang w:eastAsia="zh-CN"/>
        </w:rPr>
      </w:pPr>
      <w:r>
        <w:rPr>
          <w:rFonts w:hint="eastAsia"/>
          <w:lang w:val="en-US" w:eastAsia="zh-CN"/>
        </w:rPr>
        <w:t>风险监控功能包括：</w:t>
      </w:r>
      <w:r>
        <w:rPr>
          <w:rFonts w:hint="eastAsia"/>
          <w:lang w:eastAsia="zh-CN"/>
        </w:rPr>
        <w:t>风险识别、风险模型、估值复核。（如下图</w:t>
      </w:r>
      <w:r>
        <w:rPr>
          <w:rFonts w:hint="eastAsia"/>
          <w:lang w:val="en-US" w:eastAsia="zh-CN"/>
        </w:rPr>
        <w:t>5.2.1显示</w:t>
      </w:r>
      <w:r>
        <w:rPr>
          <w:rFonts w:hint="eastAsia"/>
          <w:lang w:eastAsia="zh-CN"/>
        </w:rPr>
        <w:t>）</w:t>
      </w:r>
    </w:p>
    <w:p>
      <w:pPr>
        <w:bidi w:val="0"/>
        <w:spacing w:line="360" w:lineRule="auto"/>
        <w:rPr>
          <w:rFonts w:hint="eastAsia"/>
          <w:lang w:eastAsia="zh-CN"/>
        </w:rPr>
      </w:pPr>
      <w:r>
        <w:rPr>
          <w:rFonts w:hint="eastAsia"/>
          <w:lang w:eastAsia="zh-CN"/>
        </w:rPr>
        <w:t>风险识别是指关注独特、不常见的抵押品，并且关注异地抵押物的估值和变现风险；</w:t>
      </w:r>
    </w:p>
    <w:p>
      <w:pPr>
        <w:bidi w:val="0"/>
        <w:spacing w:line="360" w:lineRule="auto"/>
        <w:rPr>
          <w:rFonts w:hint="eastAsia"/>
          <w:lang w:eastAsia="zh-CN"/>
        </w:rPr>
      </w:pPr>
      <w:r>
        <w:rPr>
          <w:rFonts w:hint="eastAsia"/>
          <w:lang w:eastAsia="zh-CN"/>
        </w:rPr>
        <w:t>风险模型是指利用模型挑出价值异常的抵押品；</w:t>
      </w:r>
    </w:p>
    <w:p>
      <w:pPr>
        <w:bidi w:val="0"/>
        <w:spacing w:line="360" w:lineRule="auto"/>
        <w:rPr>
          <w:rFonts w:hint="eastAsia"/>
          <w:lang w:eastAsia="zh-CN"/>
        </w:rPr>
      </w:pPr>
      <w:r>
        <w:rPr>
          <w:rFonts w:hint="eastAsia"/>
          <w:lang w:eastAsia="zh-CN"/>
        </w:rPr>
        <w:t>估值复核是指对异常项目贷前即交叉复核，异地抵押物即链上选择当地评估机构复核。</w:t>
      </w:r>
    </w:p>
    <w:p>
      <w:pPr>
        <w:bidi w:val="0"/>
        <w:spacing w:line="360" w:lineRule="auto"/>
        <w:rPr>
          <w:rFonts w:hint="eastAsia"/>
          <w:lang w:eastAsia="zh-CN"/>
        </w:rPr>
      </w:pPr>
      <w:r>
        <w:drawing>
          <wp:inline distT="0" distB="0" distL="114300" distR="114300">
            <wp:extent cx="5274310" cy="2244725"/>
            <wp:effectExtent l="0" t="0" r="2540" b="3175"/>
            <wp:docPr id="2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pic:cNvPicPr>
                      <a:picLocks noChangeAspect="1"/>
                    </pic:cNvPicPr>
                  </pic:nvPicPr>
                  <pic:blipFill>
                    <a:blip r:embed="rId28"/>
                    <a:stretch>
                      <a:fillRect/>
                    </a:stretch>
                  </pic:blipFill>
                  <pic:spPr>
                    <a:xfrm>
                      <a:off x="0" y="0"/>
                      <a:ext cx="5274310" cy="2244725"/>
                    </a:xfrm>
                    <a:prstGeom prst="rect">
                      <a:avLst/>
                    </a:prstGeom>
                    <a:noFill/>
                    <a:ln>
                      <a:noFill/>
                    </a:ln>
                  </pic:spPr>
                </pic:pic>
              </a:graphicData>
            </a:graphic>
          </wp:inline>
        </w:drawing>
      </w:r>
    </w:p>
    <w:p>
      <w:pPr>
        <w:bidi w:val="0"/>
        <w:spacing w:line="360" w:lineRule="auto"/>
        <w:jc w:val="center"/>
        <w:rPr>
          <w:rFonts w:hint="eastAsia"/>
          <w:lang w:eastAsia="zh-CN"/>
        </w:rPr>
      </w:pPr>
      <w:r>
        <w:rPr>
          <w:rFonts w:hint="eastAsia"/>
          <w:lang w:eastAsia="zh-CN"/>
        </w:rPr>
        <w:t>图</w:t>
      </w:r>
      <w:r>
        <w:rPr>
          <w:rFonts w:hint="eastAsia"/>
          <w:lang w:val="en-US" w:eastAsia="zh-CN"/>
        </w:rPr>
        <w:t>5.2.1</w:t>
      </w:r>
    </w:p>
    <w:p>
      <w:pPr>
        <w:spacing w:line="360" w:lineRule="auto"/>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libri Light">
    <w:panose1 w:val="020F0302020204030204"/>
    <w:charset w:val="00"/>
    <w:family w:val="auto"/>
    <w:pitch w:val="default"/>
    <w:sig w:usb0="A00002EF" w:usb1="4000207B" w:usb2="00000000"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70376CD"/>
    <w:multiLevelType w:val="singleLevel"/>
    <w:tmpl w:val="A70376CD"/>
    <w:lvl w:ilvl="0" w:tentative="0">
      <w:start w:val="2"/>
      <w:numFmt w:val="decimal"/>
      <w:lvlText w:val="%1."/>
      <w:lvlJc w:val="left"/>
      <w:pPr>
        <w:tabs>
          <w:tab w:val="left" w:pos="312"/>
        </w:tabs>
      </w:pPr>
    </w:lvl>
  </w:abstractNum>
  <w:abstractNum w:abstractNumId="1">
    <w:nsid w:val="C6CCF89A"/>
    <w:multiLevelType w:val="singleLevel"/>
    <w:tmpl w:val="C6CCF89A"/>
    <w:lvl w:ilvl="0" w:tentative="0">
      <w:start w:val="1"/>
      <w:numFmt w:val="bullet"/>
      <w:lvlText w:val=""/>
      <w:lvlJc w:val="left"/>
      <w:pPr>
        <w:ind w:left="420" w:hanging="420"/>
      </w:pPr>
      <w:rPr>
        <w:rFonts w:hint="default" w:ascii="Wingdings" w:hAnsi="Wingdings"/>
      </w:rPr>
    </w:lvl>
  </w:abstractNum>
  <w:abstractNum w:abstractNumId="2">
    <w:nsid w:val="68A2CFAD"/>
    <w:multiLevelType w:val="singleLevel"/>
    <w:tmpl w:val="68A2CFAD"/>
    <w:lvl w:ilvl="0" w:tentative="0">
      <w:start w:val="1"/>
      <w:numFmt w:val="bullet"/>
      <w:lvlText w:val=""/>
      <w:lvlJc w:val="left"/>
      <w:pPr>
        <w:ind w:left="420" w:hanging="420"/>
      </w:pPr>
      <w:rPr>
        <w:rFonts w:hint="default" w:ascii="Wingdings" w:hAnsi="Wingdings"/>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35D7321"/>
    <w:rsid w:val="03E33CD1"/>
    <w:rsid w:val="0AD072CB"/>
    <w:rsid w:val="11722832"/>
    <w:rsid w:val="16841AAC"/>
    <w:rsid w:val="1A983516"/>
    <w:rsid w:val="235D7321"/>
    <w:rsid w:val="24F76392"/>
    <w:rsid w:val="2B5B3CE7"/>
    <w:rsid w:val="2C643BFA"/>
    <w:rsid w:val="31773F9B"/>
    <w:rsid w:val="327E69D6"/>
    <w:rsid w:val="3D8B326E"/>
    <w:rsid w:val="44412464"/>
    <w:rsid w:val="57726BA4"/>
    <w:rsid w:val="6DD36C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Ascii" w:hAnsiTheme="minorAsci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Lines="0" w:beforeAutospacing="0" w:afterLines="0" w:afterAutospacing="0" w:line="240" w:lineRule="auto"/>
      <w:outlineLvl w:val="0"/>
    </w:pPr>
    <w:rPr>
      <w:rFonts w:asciiTheme="minorAscii" w:hAnsiTheme="minorAscii"/>
      <w:b/>
      <w:kern w:val="44"/>
      <w:sz w:val="44"/>
    </w:rPr>
  </w:style>
  <w:style w:type="paragraph" w:styleId="3">
    <w:name w:val="heading 2"/>
    <w:basedOn w:val="1"/>
    <w:next w:val="1"/>
    <w:unhideWhenUsed/>
    <w:qFormat/>
    <w:uiPriority w:val="9"/>
    <w:pPr>
      <w:keepNext/>
      <w:keepLines/>
      <w:spacing w:line="240" w:lineRule="auto"/>
      <w:jc w:val="left"/>
      <w:outlineLvl w:val="1"/>
    </w:pPr>
    <w:rPr>
      <w:rFonts w:asciiTheme="majorAscii" w:hAnsiTheme="majorAscii" w:eastAsiaTheme="majorEastAsia" w:cstheme="majorBidi"/>
      <w:b/>
      <w:bCs/>
      <w:sz w:val="32"/>
      <w:szCs w:val="32"/>
    </w:rPr>
  </w:style>
  <w:style w:type="paragraph" w:styleId="4">
    <w:name w:val="heading 3"/>
    <w:basedOn w:val="1"/>
    <w:next w:val="1"/>
    <w:unhideWhenUsed/>
    <w:qFormat/>
    <w:uiPriority w:val="0"/>
    <w:pPr>
      <w:keepNext/>
      <w:keepLines/>
      <w:spacing w:beforeLines="0" w:beforeAutospacing="0" w:afterLines="0" w:afterAutospacing="0" w:line="360" w:lineRule="auto"/>
      <w:ind w:left="420" w:leftChars="200"/>
      <w:jc w:val="left"/>
      <w:outlineLvl w:val="2"/>
    </w:pPr>
    <w:rPr>
      <w:b/>
      <w:sz w:val="32"/>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5">
    <w:name w:val="footer"/>
    <w:basedOn w:val="1"/>
    <w:uiPriority w:val="0"/>
    <w:pPr>
      <w:tabs>
        <w:tab w:val="center" w:pos="4153"/>
        <w:tab w:val="right" w:pos="8306"/>
      </w:tabs>
      <w:snapToGrid w:val="0"/>
      <w:jc w:val="left"/>
    </w:pPr>
    <w:rPr>
      <w:sz w:val="18"/>
    </w:rPr>
  </w:style>
  <w:style w:type="paragraph" w:styleId="6">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0">
    <w:name w:val="WPSOffice手动目录 1"/>
    <w:qFormat/>
    <w:uiPriority w:val="0"/>
    <w:pPr>
      <w:ind w:leftChars="0"/>
    </w:pPr>
    <w:rPr>
      <w:rFonts w:ascii="Times New Roman" w:hAnsi="Times New Roman" w:eastAsia="宋体" w:cs="Times New Roman"/>
      <w:sz w:val="20"/>
      <w:szCs w:val="20"/>
    </w:rPr>
  </w:style>
  <w:style w:type="paragraph" w:customStyle="1" w:styleId="11">
    <w:name w:val="WPSOffice手动目录 2"/>
    <w:qFormat/>
    <w:uiPriority w:val="0"/>
    <w:pPr>
      <w:ind w:leftChars="200"/>
    </w:pPr>
    <w:rPr>
      <w:rFonts w:ascii="Times New Roman" w:hAnsi="Times New Roman" w:eastAsia="宋体" w:cs="Times New Roman"/>
      <w:sz w:val="20"/>
      <w:szCs w:val="20"/>
    </w:rPr>
  </w:style>
  <w:style w:type="paragraph" w:customStyle="1" w:styleId="12">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theme" Target="theme/theme1.xml"/><Relationship Id="rId29" Type="http://schemas.openxmlformats.org/officeDocument/2006/relationships/customXml" Target="../customXml/item1.xml"/><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2020-09-02T01:38:00Z</dcterms:created>
  <dc:creator>admin</dc:creator>
  <cp:lastModifiedBy>admin</cp:lastModifiedBy>
  <dcterms:modified xsi:type="dcterms:W3CDTF">2020-09-18T09:19:56Z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